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665F" w14:textId="77777777" w:rsidR="006728C8" w:rsidRDefault="00045113">
      <w:pPr>
        <w:spacing w:before="0"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SimSun" w:hAnsi="Calibri Light" w:cs="Calibri Light"/>
          <w:noProof/>
          <w:sz w:val="22"/>
          <w:szCs w:val="22"/>
        </w:rPr>
        <w:drawing>
          <wp:inline distT="0" distB="0" distL="114300" distR="114300" wp14:anchorId="367767B3" wp14:editId="367767B4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776660" w14:textId="77777777" w:rsidR="006728C8" w:rsidRPr="00045113" w:rsidRDefault="0004511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045113">
        <w:rPr>
          <w:rFonts w:ascii="Calibri Light" w:hAnsi="Calibri Light" w:cs="Calibri Light"/>
          <w:b/>
          <w:bCs/>
          <w:sz w:val="22"/>
          <w:szCs w:val="22"/>
          <w:lang w:val="pt-PT"/>
        </w:rPr>
        <w:t>REPÚBLICA DE MOÇAMBIQUE</w:t>
      </w:r>
    </w:p>
    <w:p w14:paraId="36776661" w14:textId="77777777" w:rsidR="006728C8" w:rsidRPr="00045113" w:rsidRDefault="0004511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045113">
        <w:rPr>
          <w:rFonts w:ascii="Calibri Light" w:hAnsi="Calibri Light" w:cs="Calibri Light"/>
          <w:b/>
          <w:bCs/>
          <w:sz w:val="22"/>
          <w:szCs w:val="22"/>
          <w:lang w:val="pt-PT"/>
        </w:rPr>
        <w:t>MINISTÉRIO DA AGRICULTURA, AMBIENTE E PESCAS</w:t>
      </w:r>
    </w:p>
    <w:p w14:paraId="36776662" w14:textId="77777777" w:rsidR="006728C8" w:rsidRPr="00045113" w:rsidRDefault="0004511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045113">
        <w:rPr>
          <w:rFonts w:ascii="Calibri Light" w:hAnsi="Calibri Light" w:cs="Calibri Light"/>
          <w:b/>
          <w:bCs/>
          <w:sz w:val="22"/>
          <w:szCs w:val="22"/>
          <w:lang w:val="pt-PT"/>
        </w:rPr>
        <w:t>COMISSÃO DE REVISÃO DA POLÍTICA E LEI DO AMBIENTE</w:t>
      </w:r>
    </w:p>
    <w:p w14:paraId="36776663" w14:textId="77777777" w:rsidR="006728C8" w:rsidRPr="00045113" w:rsidRDefault="006728C8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</w:p>
    <w:p w14:paraId="36776664" w14:textId="77777777" w:rsidR="006728C8" w:rsidRPr="00045113" w:rsidRDefault="0004511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045113">
        <w:rPr>
          <w:rFonts w:ascii="Calibri Light" w:hAnsi="Calibri Light" w:cs="Calibri Light"/>
          <w:b/>
          <w:bCs/>
          <w:sz w:val="22"/>
          <w:szCs w:val="22"/>
          <w:lang w:val="pt-PT"/>
        </w:rPr>
        <w:t>CONSULTA PÚBLICA DO DRAFT “0” DO ANTE-PROJECTO DA POLÍTICA NACIONAL E LEI DO AMBIENTE</w:t>
      </w:r>
    </w:p>
    <w:p w14:paraId="36776665" w14:textId="77777777" w:rsidR="006728C8" w:rsidRPr="00045113" w:rsidRDefault="00045113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045113">
        <w:rPr>
          <w:rFonts w:ascii="Calibri Light" w:hAnsi="Calibri Light" w:cs="Calibri Light"/>
          <w:b/>
          <w:bCs/>
          <w:sz w:val="22"/>
          <w:szCs w:val="22"/>
          <w:lang w:val="pt-PT"/>
        </w:rPr>
        <w:t>MATRIZ DE CONTRIBUIÇÕES</w:t>
      </w:r>
    </w:p>
    <w:p w14:paraId="36776666" w14:textId="77777777" w:rsidR="006728C8" w:rsidRDefault="006728C8">
      <w:pPr>
        <w:spacing w:before="0" w:after="0" w:line="240" w:lineRule="auto"/>
        <w:jc w:val="center"/>
        <w:rPr>
          <w:rFonts w:ascii="Calibri Light" w:hAnsi="Calibri Light" w:cs="Calibri Light"/>
          <w:sz w:val="22"/>
          <w:szCs w:val="22"/>
          <w:lang w:val="pt-PT"/>
        </w:rPr>
      </w:pPr>
    </w:p>
    <w:p w14:paraId="36776667" w14:textId="77777777" w:rsidR="006728C8" w:rsidRPr="00690969" w:rsidRDefault="00045113">
      <w:pPr>
        <w:pBdr>
          <w:bottom w:val="single" w:sz="12" w:space="2" w:color="auto"/>
        </w:pBdr>
        <w:spacing w:after="0" w:line="240" w:lineRule="auto"/>
        <w:rPr>
          <w:rFonts w:ascii="Calibri Light" w:eastAsiaTheme="majorEastAsia" w:hAnsi="Calibri Light" w:cs="Calibri Light"/>
          <w:b/>
          <w:bCs/>
          <w:lang w:val="pt-PT"/>
        </w:rPr>
      </w:pPr>
      <w:r w:rsidRPr="00690969">
        <w:rPr>
          <w:rFonts w:ascii="Calibri Light" w:hAnsi="Calibri Light" w:cs="Calibri Light"/>
          <w:b/>
          <w:bCs/>
          <w:lang w:val="pt-PT"/>
        </w:rPr>
        <w:t>Grupo de Interesse</w:t>
      </w:r>
      <w:r w:rsidRPr="00690969">
        <w:rPr>
          <w:rStyle w:val="FootnoteReference"/>
          <w:rFonts w:ascii="Calibri Light" w:hAnsi="Calibri Light" w:cs="Calibri Light"/>
          <w:b/>
          <w:bCs/>
          <w:lang w:val="pt-PT"/>
        </w:rPr>
        <w:footnoteReference w:id="1"/>
      </w:r>
      <w:r w:rsidRPr="00690969">
        <w:rPr>
          <w:rFonts w:ascii="Calibri Light" w:hAnsi="Calibri Light" w:cs="Calibri Light"/>
          <w:b/>
          <w:bCs/>
          <w:lang w:val="pt-PT"/>
        </w:rPr>
        <w:t>:</w:t>
      </w:r>
      <w:r w:rsidRPr="00690969">
        <w:rPr>
          <w:rFonts w:ascii="Calibri Light" w:hAnsi="Calibri Light" w:cs="Calibri Light"/>
          <w:b/>
          <w:bCs/>
          <w:lang w:val="pt-PT"/>
        </w:rPr>
        <w:tab/>
        <w:t>Sector Privado</w:t>
      </w:r>
      <w:r w:rsidRPr="00690969">
        <w:rPr>
          <w:rFonts w:ascii="Calibri Light" w:hAnsi="Calibri Light" w:cs="Calibri Light"/>
          <w:b/>
          <w:bCs/>
          <w:lang w:val="pt-PT"/>
        </w:rPr>
        <w:tab/>
      </w:r>
      <w:r w:rsidRPr="00690969">
        <w:rPr>
          <w:rFonts w:ascii="Calibri Light" w:hAnsi="Calibri Light" w:cs="Calibri Light"/>
          <w:b/>
          <w:bCs/>
          <w:lang w:val="pt-PT"/>
        </w:rPr>
        <w:tab/>
      </w:r>
      <w:r w:rsidRPr="00690969">
        <w:rPr>
          <w:rFonts w:ascii="Calibri Light" w:hAnsi="Calibri Light" w:cs="Calibri Light"/>
          <w:b/>
          <w:bCs/>
          <w:lang w:val="pt-PT"/>
        </w:rPr>
        <w:tab/>
      </w:r>
      <w:r w:rsidRPr="00690969">
        <w:rPr>
          <w:rFonts w:ascii="Calibri Light" w:hAnsi="Calibri Light" w:cs="Calibri Light"/>
          <w:b/>
          <w:bCs/>
          <w:lang w:val="pt-PT"/>
        </w:rPr>
        <w:tab/>
      </w:r>
      <w:r w:rsidRPr="00690969">
        <w:rPr>
          <w:rFonts w:ascii="Calibri Light" w:hAnsi="Calibri Light" w:cs="Calibri Light"/>
          <w:b/>
          <w:bCs/>
          <w:lang w:val="pt-PT"/>
        </w:rPr>
        <w:tab/>
      </w:r>
    </w:p>
    <w:p w14:paraId="36776668" w14:textId="77777777" w:rsidR="006728C8" w:rsidRDefault="0004511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u w:val="single"/>
        </w:rPr>
      </w:pPr>
      <w:r>
        <w:rPr>
          <w:rFonts w:eastAsiaTheme="majorEastAsia" w:cs="Calibri"/>
        </w:rPr>
        <w:t>LOCAL DA CONSULTA</w:t>
      </w:r>
    </w:p>
    <w:p w14:paraId="36776669" w14:textId="77777777" w:rsidR="006728C8" w:rsidRDefault="00045113">
      <w:pPr>
        <w:spacing w:before="0" w:line="240" w:lineRule="auto"/>
        <w:rPr>
          <w:rFonts w:eastAsiaTheme="majorEastAsia" w:cs="Calibri"/>
          <w:lang w:val="pt-PT"/>
        </w:rPr>
      </w:pPr>
      <w:r>
        <w:rPr>
          <w:rFonts w:eastAsiaTheme="majorEastAsia" w:cs="Calibri"/>
          <w:lang w:val="pt-PT"/>
        </w:rPr>
        <w:t>Província:</w:t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  <w:t xml:space="preserve">Data da Sessão/Consulta: </w:t>
      </w:r>
    </w:p>
    <w:p w14:paraId="3677666A" w14:textId="77777777" w:rsidR="006728C8" w:rsidRDefault="00045113">
      <w:pPr>
        <w:spacing w:before="0" w:line="240" w:lineRule="auto"/>
        <w:rPr>
          <w:rFonts w:eastAsiaTheme="majorEastAsia" w:cs="Calibri"/>
          <w:u w:val="single"/>
          <w:lang w:val="pt-PT"/>
        </w:rPr>
      </w:pPr>
      <w:r>
        <w:rPr>
          <w:rFonts w:eastAsiaTheme="majorEastAsia" w:cs="Calibri"/>
          <w:lang w:val="pt-PT"/>
        </w:rPr>
        <w:t xml:space="preserve">Cidade/Município/Distrito de:                                   </w:t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</w:r>
      <w:r>
        <w:rPr>
          <w:rFonts w:eastAsiaTheme="majorEastAsia" w:cs="Calibri"/>
          <w:lang w:val="pt-PT"/>
        </w:rPr>
        <w:tab/>
        <w:t xml:space="preserve">Comunidade de: </w:t>
      </w:r>
    </w:p>
    <w:p w14:paraId="3677666B" w14:textId="77777777" w:rsidR="006728C8" w:rsidRDefault="006728C8">
      <w:pPr>
        <w:spacing w:before="0" w:after="0" w:line="240" w:lineRule="auto"/>
        <w:rPr>
          <w:rFonts w:eastAsiaTheme="majorEastAsia" w:cs="Calibri"/>
          <w:lang w:val="pt-PT"/>
        </w:rPr>
      </w:pPr>
    </w:p>
    <w:p w14:paraId="3677666C" w14:textId="77777777" w:rsidR="006728C8" w:rsidRDefault="006728C8">
      <w:pPr>
        <w:spacing w:before="0" w:after="0" w:line="240" w:lineRule="auto"/>
        <w:rPr>
          <w:rFonts w:eastAsiaTheme="majorEastAsia" w:cs="Calibri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14"/>
        <w:gridCol w:w="836"/>
        <w:gridCol w:w="1375"/>
        <w:gridCol w:w="709"/>
        <w:gridCol w:w="1423"/>
        <w:gridCol w:w="709"/>
      </w:tblGrid>
      <w:tr w:rsidR="006728C8" w14:paraId="36776674" w14:textId="7777777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677666D" w14:textId="77777777" w:rsidR="006728C8" w:rsidRDefault="00045113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Número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3677666E" w14:textId="77777777" w:rsidR="006728C8" w:rsidRDefault="00045113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Total:</w:t>
            </w:r>
          </w:p>
        </w:tc>
        <w:tc>
          <w:tcPr>
            <w:tcW w:w="836" w:type="dxa"/>
          </w:tcPr>
          <w:p w14:paraId="3677666F" w14:textId="77777777" w:rsidR="006728C8" w:rsidRDefault="006728C8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776670" w14:textId="77777777" w:rsidR="006728C8" w:rsidRDefault="00045113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Homens:</w:t>
            </w:r>
          </w:p>
        </w:tc>
        <w:tc>
          <w:tcPr>
            <w:tcW w:w="709" w:type="dxa"/>
          </w:tcPr>
          <w:p w14:paraId="36776671" w14:textId="77777777" w:rsidR="006728C8" w:rsidRDefault="006728C8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776672" w14:textId="77777777" w:rsidR="006728C8" w:rsidRDefault="00045113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  <w:r>
              <w:rPr>
                <w:rFonts w:eastAsiaTheme="majorEastAsia" w:cs="Calibri"/>
                <w:kern w:val="0"/>
                <w:szCs w:val="20"/>
                <w14:ligatures w14:val="none"/>
              </w:rPr>
              <w:t>Mulheres</w:t>
            </w:r>
          </w:p>
        </w:tc>
        <w:tc>
          <w:tcPr>
            <w:tcW w:w="709" w:type="dxa"/>
          </w:tcPr>
          <w:p w14:paraId="36776673" w14:textId="77777777" w:rsidR="006728C8" w:rsidRDefault="006728C8">
            <w:pPr>
              <w:spacing w:before="0"/>
              <w:rPr>
                <w:rFonts w:eastAsiaTheme="majorEastAsia" w:cs="Calibri"/>
                <w:kern w:val="0"/>
                <w:szCs w:val="20"/>
                <w14:ligatures w14:val="none"/>
              </w:rPr>
            </w:pPr>
          </w:p>
        </w:tc>
      </w:tr>
    </w:tbl>
    <w:p w14:paraId="36776675" w14:textId="77777777" w:rsidR="006728C8" w:rsidRDefault="006728C8">
      <w:pPr>
        <w:spacing w:before="0" w:after="0"/>
        <w:rPr>
          <w:rFonts w:eastAsiaTheme="majorEastAsia" w:cs="Calibri"/>
        </w:rPr>
      </w:pPr>
    </w:p>
    <w:p w14:paraId="36776676" w14:textId="77777777" w:rsidR="006728C8" w:rsidRDefault="0004511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lang w:val="pt-PT"/>
        </w:rPr>
      </w:pPr>
      <w:r>
        <w:rPr>
          <w:rFonts w:eastAsiaTheme="majorEastAsia" w:cs="Calibri"/>
          <w:lang w:val="pt-PT"/>
        </w:rPr>
        <w:t>DADOS DO(S) PARTICIPANTE(S)</w:t>
      </w:r>
      <w:r>
        <w:rPr>
          <w:rStyle w:val="FootnoteReference"/>
          <w:rFonts w:eastAsiaTheme="majorEastAsia" w:cs="Calibri"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728C8" w14:paraId="36776679" w14:textId="77777777">
        <w:tc>
          <w:tcPr>
            <w:tcW w:w="6475" w:type="dxa"/>
            <w:shd w:val="clear" w:color="auto" w:fill="002060"/>
          </w:tcPr>
          <w:p w14:paraId="36776677" w14:textId="77777777" w:rsidR="006728C8" w:rsidRDefault="00045113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  <w:r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  <w:t>Nome(s)</w:t>
            </w:r>
          </w:p>
        </w:tc>
        <w:tc>
          <w:tcPr>
            <w:tcW w:w="6475" w:type="dxa"/>
            <w:shd w:val="clear" w:color="auto" w:fill="002060"/>
          </w:tcPr>
          <w:p w14:paraId="36776678" w14:textId="77777777" w:rsidR="006728C8" w:rsidRDefault="00045113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  <w:r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  <w:t xml:space="preserve">Instituição </w:t>
            </w:r>
          </w:p>
        </w:tc>
      </w:tr>
      <w:tr w:rsidR="006728C8" w14:paraId="3677667C" w14:textId="77777777">
        <w:tc>
          <w:tcPr>
            <w:tcW w:w="6475" w:type="dxa"/>
          </w:tcPr>
          <w:p w14:paraId="3677667A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7B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14:paraId="3677667F" w14:textId="77777777">
        <w:tc>
          <w:tcPr>
            <w:tcW w:w="6475" w:type="dxa"/>
          </w:tcPr>
          <w:p w14:paraId="3677667D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7E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14:paraId="36776682" w14:textId="77777777">
        <w:tc>
          <w:tcPr>
            <w:tcW w:w="6475" w:type="dxa"/>
          </w:tcPr>
          <w:p w14:paraId="36776680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81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14:paraId="36776685" w14:textId="77777777">
        <w:tc>
          <w:tcPr>
            <w:tcW w:w="6475" w:type="dxa"/>
          </w:tcPr>
          <w:p w14:paraId="36776683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84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14:paraId="36776688" w14:textId="77777777">
        <w:tc>
          <w:tcPr>
            <w:tcW w:w="6475" w:type="dxa"/>
          </w:tcPr>
          <w:p w14:paraId="36776686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87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14:paraId="3677668B" w14:textId="77777777">
        <w:tc>
          <w:tcPr>
            <w:tcW w:w="6475" w:type="dxa"/>
          </w:tcPr>
          <w:p w14:paraId="36776689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8A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14:paraId="3677668E" w14:textId="77777777">
        <w:tc>
          <w:tcPr>
            <w:tcW w:w="6475" w:type="dxa"/>
          </w:tcPr>
          <w:p w14:paraId="3677668C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8D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14:paraId="36776694" w14:textId="77777777">
        <w:tc>
          <w:tcPr>
            <w:tcW w:w="6475" w:type="dxa"/>
          </w:tcPr>
          <w:p w14:paraId="36776692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  <w:tc>
          <w:tcPr>
            <w:tcW w:w="6475" w:type="dxa"/>
          </w:tcPr>
          <w:p w14:paraId="36776693" w14:textId="77777777" w:rsidR="006728C8" w:rsidRDefault="006728C8">
            <w:pPr>
              <w:spacing w:before="0" w:after="0" w:line="240" w:lineRule="auto"/>
              <w:rPr>
                <w:rFonts w:asciiTheme="majorHAnsi" w:hAnsiTheme="majorHAnsi" w:cstheme="majorHAns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36776695" w14:textId="77777777" w:rsidR="006728C8" w:rsidRDefault="0004511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lang w:val="pt-PT"/>
        </w:rPr>
      </w:pPr>
      <w:r>
        <w:rPr>
          <w:rFonts w:eastAsiaTheme="majorEastAsia" w:cs="Calibri"/>
          <w:lang w:val="pt-PT"/>
        </w:rPr>
        <w:lastRenderedPageBreak/>
        <w:t xml:space="preserve">Contribuições gerais para a proposta do </w:t>
      </w:r>
      <w:proofErr w:type="spellStart"/>
      <w:r>
        <w:rPr>
          <w:rFonts w:eastAsiaTheme="majorEastAsia" w:cs="Calibri"/>
          <w:lang w:val="pt-PT"/>
        </w:rPr>
        <w:t>Ante-Projecto</w:t>
      </w:r>
      <w:proofErr w:type="spellEnd"/>
      <w:r>
        <w:rPr>
          <w:rFonts w:eastAsiaTheme="majorEastAsia" w:cs="Calibri"/>
          <w:lang w:val="pt-PT"/>
        </w:rPr>
        <w:t xml:space="preserve"> da Política Nacional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010"/>
        <w:gridCol w:w="7104"/>
      </w:tblGrid>
      <w:tr w:rsidR="006728C8" w14:paraId="36776699" w14:textId="77777777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36776696" w14:textId="77777777" w:rsidR="006728C8" w:rsidRDefault="00045113">
            <w:pPr>
              <w:spacing w:before="0" w:after="0"/>
              <w:ind w:left="0"/>
              <w:jc w:val="center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36776697" w14:textId="77777777" w:rsidR="006728C8" w:rsidRDefault="00045113">
            <w:pPr>
              <w:spacing w:before="0" w:after="0"/>
              <w:ind w:left="0"/>
              <w:jc w:val="center"/>
              <w:rPr>
                <w:rFonts w:cs="Calibri"/>
                <w:szCs w:val="20"/>
                <w:lang w:val="pt-BR"/>
              </w:rPr>
            </w:pPr>
            <w:r>
              <w:rPr>
                <w:rFonts w:cs="Calibri"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36776698" w14:textId="77777777" w:rsidR="006728C8" w:rsidRDefault="00045113">
            <w:pPr>
              <w:spacing w:before="0" w:after="0"/>
              <w:ind w:left="0"/>
              <w:jc w:val="center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CONTRIBUIÇÕES</w:t>
            </w:r>
          </w:p>
        </w:tc>
      </w:tr>
      <w:tr w:rsidR="006728C8" w14:paraId="3677669E" w14:textId="77777777">
        <w:trPr>
          <w:trHeight w:val="917"/>
        </w:trPr>
        <w:tc>
          <w:tcPr>
            <w:tcW w:w="2027" w:type="pct"/>
          </w:tcPr>
          <w:p w14:paraId="3677669A" w14:textId="77777777" w:rsidR="006728C8" w:rsidRDefault="006728C8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  <w:p w14:paraId="3677669B" w14:textId="77777777" w:rsidR="006728C8" w:rsidRDefault="00045113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  <w:r>
              <w:rPr>
                <w:rFonts w:asciiTheme="majorHAnsi" w:eastAsia="Footlight MT Light" w:hAnsiTheme="majorHAnsi" w:cstheme="majorHAns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3677669C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677669D" w14:textId="77777777" w:rsidR="006728C8" w:rsidRDefault="006728C8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728C8" w14:paraId="367766A2" w14:textId="77777777">
        <w:trPr>
          <w:trHeight w:val="824"/>
        </w:trPr>
        <w:tc>
          <w:tcPr>
            <w:tcW w:w="2027" w:type="pct"/>
          </w:tcPr>
          <w:p w14:paraId="3677669F" w14:textId="77777777" w:rsidR="006728C8" w:rsidRDefault="006728C8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</w:tc>
        <w:tc>
          <w:tcPr>
            <w:tcW w:w="370" w:type="pct"/>
          </w:tcPr>
          <w:p w14:paraId="367766A0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67766A1" w14:textId="77777777" w:rsidR="006728C8" w:rsidRDefault="006728C8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728C8" w14:paraId="367766A7" w14:textId="77777777">
        <w:trPr>
          <w:trHeight w:val="997"/>
        </w:trPr>
        <w:tc>
          <w:tcPr>
            <w:tcW w:w="2027" w:type="pct"/>
          </w:tcPr>
          <w:p w14:paraId="367766A3" w14:textId="77777777" w:rsidR="006728C8" w:rsidRDefault="006728C8">
            <w:pPr>
              <w:spacing w:after="0"/>
              <w:ind w:left="0"/>
              <w:rPr>
                <w:rFonts w:asciiTheme="majorHAnsi" w:hAnsiTheme="majorHAnsi" w:cstheme="majorHAnsi"/>
                <w:szCs w:val="20"/>
                <w:lang w:val="pt-PT"/>
              </w:rPr>
            </w:pPr>
          </w:p>
          <w:p w14:paraId="367766A4" w14:textId="77777777" w:rsidR="006728C8" w:rsidRDefault="006728C8">
            <w:pPr>
              <w:spacing w:after="0"/>
              <w:rPr>
                <w:rFonts w:asciiTheme="majorHAnsi" w:hAnsiTheme="majorHAnsi" w:cstheme="majorHAnsi"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367766A5" w14:textId="77777777" w:rsidR="006728C8" w:rsidRDefault="006728C8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67766A6" w14:textId="77777777" w:rsidR="006728C8" w:rsidRDefault="006728C8">
            <w:pPr>
              <w:spacing w:after="0"/>
              <w:rPr>
                <w:rFonts w:asciiTheme="majorHAnsi" w:eastAsia="Times New Roman" w:hAnsiTheme="majorHAnsi" w:cstheme="majorHAnsi"/>
                <w:szCs w:val="20"/>
                <w:lang w:val="pt-PT"/>
              </w:rPr>
            </w:pPr>
          </w:p>
        </w:tc>
      </w:tr>
      <w:tr w:rsidR="006728C8" w14:paraId="367766AB" w14:textId="77777777">
        <w:trPr>
          <w:trHeight w:val="997"/>
        </w:trPr>
        <w:tc>
          <w:tcPr>
            <w:tcW w:w="2027" w:type="pct"/>
          </w:tcPr>
          <w:p w14:paraId="367766A8" w14:textId="77777777" w:rsidR="006728C8" w:rsidRDefault="006728C8">
            <w:pPr>
              <w:spacing w:after="0"/>
              <w:ind w:left="0"/>
              <w:rPr>
                <w:rFonts w:asciiTheme="majorHAnsi" w:hAnsiTheme="majorHAnsi" w:cstheme="majorHAnsi"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367766A9" w14:textId="77777777" w:rsidR="006728C8" w:rsidRDefault="006728C8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67766AA" w14:textId="77777777" w:rsidR="006728C8" w:rsidRDefault="006728C8">
            <w:pPr>
              <w:spacing w:after="0"/>
              <w:rPr>
                <w:rFonts w:asciiTheme="majorHAnsi" w:eastAsia="Times New Roman" w:hAnsiTheme="majorHAnsi" w:cstheme="majorHAnsi"/>
                <w:szCs w:val="20"/>
                <w:lang w:val="pt-PT"/>
              </w:rPr>
            </w:pPr>
          </w:p>
        </w:tc>
      </w:tr>
    </w:tbl>
    <w:p w14:paraId="367766AC" w14:textId="77777777" w:rsidR="006728C8" w:rsidRDefault="006728C8">
      <w:pPr>
        <w:spacing w:after="200" w:line="276" w:lineRule="auto"/>
        <w:rPr>
          <w:rFonts w:asciiTheme="majorHAnsi" w:hAnsiTheme="majorHAnsi" w:cstheme="majorHAnsi"/>
          <w:lang w:val="pt-BR"/>
        </w:rPr>
      </w:pPr>
    </w:p>
    <w:p w14:paraId="367766AD" w14:textId="77777777" w:rsidR="006728C8" w:rsidRDefault="00045113">
      <w:pPr>
        <w:pStyle w:val="ListParagraph4"/>
        <w:numPr>
          <w:ilvl w:val="0"/>
          <w:numId w:val="1"/>
        </w:numPr>
        <w:spacing w:before="240" w:beforeAutospacing="0" w:after="200" w:line="240" w:lineRule="auto"/>
        <w:jc w:val="both"/>
        <w:rPr>
          <w:rFonts w:eastAsiaTheme="majorEastAsia" w:cs="Calibri"/>
          <w:lang w:val="pt-PT"/>
        </w:rPr>
      </w:pPr>
      <w:r>
        <w:rPr>
          <w:rFonts w:eastAsiaTheme="majorEastAsia" w:cs="Calibri"/>
          <w:lang w:val="pt-PT"/>
        </w:rPr>
        <w:t xml:space="preserve">Contribuições gerais para a proposta do </w:t>
      </w:r>
      <w:proofErr w:type="spellStart"/>
      <w:r>
        <w:rPr>
          <w:rFonts w:eastAsiaTheme="majorEastAsia" w:cs="Calibri"/>
          <w:lang w:val="pt-PT"/>
        </w:rPr>
        <w:t>Ante-Projecto</w:t>
      </w:r>
      <w:proofErr w:type="spellEnd"/>
      <w:r>
        <w:rPr>
          <w:rFonts w:eastAsiaTheme="majorEastAsia" w:cs="Calibri"/>
          <w:lang w:val="pt-PT"/>
        </w:rPr>
        <w:t xml:space="preserve"> da Lei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010"/>
        <w:gridCol w:w="871"/>
        <w:gridCol w:w="1206"/>
        <w:gridCol w:w="9257"/>
      </w:tblGrid>
      <w:tr w:rsidR="006728C8" w14:paraId="367766B3" w14:textId="77777777">
        <w:trPr>
          <w:trHeight w:val="251"/>
        </w:trPr>
        <w:tc>
          <w:tcPr>
            <w:tcW w:w="477" w:type="pct"/>
            <w:shd w:val="clear" w:color="auto" w:fill="002060"/>
          </w:tcPr>
          <w:p w14:paraId="367766AE" w14:textId="77777777" w:rsidR="006728C8" w:rsidRDefault="00045113">
            <w:pPr>
              <w:spacing w:before="0" w:after="0"/>
              <w:ind w:left="0"/>
              <w:jc w:val="center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367766AF" w14:textId="77777777" w:rsidR="006728C8" w:rsidRDefault="00045113">
            <w:pPr>
              <w:spacing w:before="0" w:after="0"/>
              <w:ind w:left="0"/>
              <w:jc w:val="center"/>
              <w:rPr>
                <w:rFonts w:cs="Calibri"/>
                <w:szCs w:val="20"/>
                <w:lang w:val="pt-BR"/>
              </w:rPr>
            </w:pPr>
            <w:r>
              <w:rPr>
                <w:rFonts w:cs="Calibri"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367766B0" w14:textId="77777777" w:rsidR="006728C8" w:rsidRDefault="00045113">
            <w:pPr>
              <w:spacing w:before="0" w:after="0"/>
              <w:ind w:left="0"/>
              <w:jc w:val="center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367766B1" w14:textId="77777777" w:rsidR="006728C8" w:rsidRDefault="00045113">
            <w:pPr>
              <w:spacing w:before="0" w:after="0"/>
              <w:ind w:left="0" w:right="-145"/>
              <w:jc w:val="center"/>
              <w:rPr>
                <w:rFonts w:cs="Calibri"/>
                <w:szCs w:val="20"/>
                <w:lang w:val="pt-PT"/>
              </w:rPr>
            </w:pPr>
            <w:r>
              <w:rPr>
                <w:rFonts w:cs="Calibri"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367766B2" w14:textId="77777777" w:rsidR="006728C8" w:rsidRDefault="00045113">
            <w:pPr>
              <w:spacing w:before="0" w:after="0"/>
              <w:ind w:left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CONTRIBUIÇÕES</w:t>
            </w:r>
          </w:p>
        </w:tc>
      </w:tr>
      <w:tr w:rsidR="006728C8" w14:paraId="367766BA" w14:textId="77777777">
        <w:trPr>
          <w:trHeight w:val="890"/>
        </w:trPr>
        <w:tc>
          <w:tcPr>
            <w:tcW w:w="477" w:type="pct"/>
          </w:tcPr>
          <w:p w14:paraId="367766B4" w14:textId="77777777" w:rsidR="006728C8" w:rsidRDefault="006728C8">
            <w:pPr>
              <w:spacing w:after="0"/>
              <w:rPr>
                <w:rFonts w:asciiTheme="majorHAnsi" w:eastAsia="Footlight MT Light" w:hAnsiTheme="majorHAnsi" w:cstheme="majorHAnsi"/>
                <w:color w:val="000000"/>
              </w:rPr>
            </w:pPr>
          </w:p>
          <w:p w14:paraId="367766B5" w14:textId="77777777" w:rsidR="006728C8" w:rsidRDefault="006728C8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</w:rPr>
            </w:pPr>
          </w:p>
        </w:tc>
        <w:tc>
          <w:tcPr>
            <w:tcW w:w="370" w:type="pct"/>
          </w:tcPr>
          <w:p w14:paraId="367766B6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367766B7" w14:textId="77777777" w:rsidR="006728C8" w:rsidRDefault="006728C8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367766B8" w14:textId="77777777" w:rsidR="006728C8" w:rsidRDefault="006728C8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367766B9" w14:textId="77777777" w:rsidR="006728C8" w:rsidRDefault="006728C8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6728C8" w14:paraId="367766C1" w14:textId="77777777">
        <w:tc>
          <w:tcPr>
            <w:tcW w:w="477" w:type="pct"/>
          </w:tcPr>
          <w:p w14:paraId="367766BB" w14:textId="77777777" w:rsidR="006728C8" w:rsidRDefault="006728C8">
            <w:pPr>
              <w:spacing w:after="0"/>
              <w:ind w:left="0"/>
              <w:rPr>
                <w:rFonts w:asciiTheme="majorHAnsi" w:hAnsiTheme="majorHAnsi" w:cstheme="majorHAnsi"/>
                <w:szCs w:val="20"/>
              </w:rPr>
            </w:pPr>
          </w:p>
          <w:p w14:paraId="367766BC" w14:textId="77777777" w:rsidR="006728C8" w:rsidRDefault="006728C8">
            <w:pPr>
              <w:spacing w:after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0" w:type="pct"/>
          </w:tcPr>
          <w:p w14:paraId="367766BD" w14:textId="77777777" w:rsidR="006728C8" w:rsidRDefault="006728C8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367766BE" w14:textId="77777777" w:rsidR="006728C8" w:rsidRDefault="006728C8">
            <w:pPr>
              <w:spacing w:after="0"/>
              <w:rPr>
                <w:rFonts w:asciiTheme="majorHAnsi" w:eastAsia="Times New Roman" w:hAnsiTheme="majorHAnsi" w:cstheme="majorHAnsi"/>
                <w:szCs w:val="20"/>
              </w:rPr>
            </w:pPr>
          </w:p>
        </w:tc>
        <w:tc>
          <w:tcPr>
            <w:tcW w:w="442" w:type="pct"/>
          </w:tcPr>
          <w:p w14:paraId="367766BF" w14:textId="77777777" w:rsidR="006728C8" w:rsidRDefault="006728C8">
            <w:pPr>
              <w:spacing w:after="0"/>
              <w:rPr>
                <w:rFonts w:asciiTheme="majorHAnsi" w:eastAsia="Times New Roman" w:hAnsiTheme="majorHAnsi" w:cstheme="majorHAnsi"/>
                <w:szCs w:val="20"/>
              </w:rPr>
            </w:pPr>
          </w:p>
        </w:tc>
        <w:tc>
          <w:tcPr>
            <w:tcW w:w="3393" w:type="pct"/>
          </w:tcPr>
          <w:p w14:paraId="367766C0" w14:textId="77777777" w:rsidR="006728C8" w:rsidRDefault="006728C8">
            <w:pPr>
              <w:spacing w:after="0"/>
              <w:rPr>
                <w:rFonts w:asciiTheme="majorHAnsi" w:eastAsia="Times New Roman" w:hAnsiTheme="majorHAnsi" w:cstheme="majorHAnsi"/>
                <w:szCs w:val="20"/>
              </w:rPr>
            </w:pPr>
          </w:p>
        </w:tc>
      </w:tr>
      <w:tr w:rsidR="006728C8" w14:paraId="367766C8" w14:textId="77777777">
        <w:tc>
          <w:tcPr>
            <w:tcW w:w="477" w:type="pct"/>
          </w:tcPr>
          <w:p w14:paraId="367766C2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  <w:p w14:paraId="367766C3" w14:textId="77777777" w:rsidR="006728C8" w:rsidRDefault="006728C8">
            <w:pPr>
              <w:spacing w:after="0"/>
              <w:ind w:left="0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0" w:type="pct"/>
          </w:tcPr>
          <w:p w14:paraId="367766C4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19" w:type="pct"/>
          </w:tcPr>
          <w:p w14:paraId="367766C5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42" w:type="pct"/>
          </w:tcPr>
          <w:p w14:paraId="367766C6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393" w:type="pct"/>
          </w:tcPr>
          <w:p w14:paraId="367766C7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6728C8" w14:paraId="367766CF" w14:textId="77777777">
        <w:tc>
          <w:tcPr>
            <w:tcW w:w="477" w:type="pct"/>
          </w:tcPr>
          <w:p w14:paraId="367766C9" w14:textId="77777777" w:rsidR="006728C8" w:rsidRDefault="006728C8">
            <w:pPr>
              <w:spacing w:after="0"/>
              <w:ind w:left="0"/>
              <w:rPr>
                <w:rFonts w:asciiTheme="majorHAnsi" w:hAnsiTheme="majorHAnsi" w:cstheme="majorHAnsi"/>
                <w:szCs w:val="20"/>
              </w:rPr>
            </w:pPr>
          </w:p>
          <w:p w14:paraId="367766CA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0" w:type="pct"/>
          </w:tcPr>
          <w:p w14:paraId="367766CB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19" w:type="pct"/>
          </w:tcPr>
          <w:p w14:paraId="367766CC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42" w:type="pct"/>
          </w:tcPr>
          <w:p w14:paraId="367766CD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393" w:type="pct"/>
          </w:tcPr>
          <w:p w14:paraId="367766CE" w14:textId="77777777" w:rsidR="006728C8" w:rsidRDefault="006728C8">
            <w:pPr>
              <w:spacing w:after="0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367766D0" w14:textId="77777777" w:rsidR="006728C8" w:rsidRDefault="00045113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5675"/>
        <w:gridCol w:w="4945"/>
      </w:tblGrid>
      <w:tr w:rsidR="006728C8" w14:paraId="367766D4" w14:textId="77777777">
        <w:trPr>
          <w:trHeight w:val="20"/>
          <w:tblHeader/>
          <w:jc w:val="center"/>
        </w:trPr>
        <w:tc>
          <w:tcPr>
            <w:tcW w:w="2965" w:type="dxa"/>
            <w:shd w:val="clear" w:color="auto" w:fill="002060"/>
          </w:tcPr>
          <w:p w14:paraId="367766D1" w14:textId="77777777" w:rsidR="006728C8" w:rsidRDefault="00045113">
            <w:pPr>
              <w:ind w:left="144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kern w:val="0"/>
                <w:szCs w:val="20"/>
                <w:lang w:val="pt-PT"/>
                <w14:ligatures w14:val="none"/>
              </w:rPr>
              <w:lastRenderedPageBreak/>
              <w:t>1. Desafios Actuais do Sector do Ambiente</w:t>
            </w:r>
          </w:p>
        </w:tc>
        <w:tc>
          <w:tcPr>
            <w:tcW w:w="5675" w:type="dxa"/>
            <w:shd w:val="clear" w:color="auto" w:fill="002060"/>
          </w:tcPr>
          <w:p w14:paraId="367766D2" w14:textId="77777777" w:rsidR="006728C8" w:rsidRDefault="00045113">
            <w:pPr>
              <w:ind w:left="144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kern w:val="0"/>
                <w:szCs w:val="20"/>
                <w:lang w:val="pt-PT"/>
                <w14:ligatures w14:val="none"/>
              </w:rPr>
              <w:t xml:space="preserve">2. Medidas Propostas no </w:t>
            </w:r>
            <w:proofErr w:type="spellStart"/>
            <w:r>
              <w:rPr>
                <w:rFonts w:cs="Calibri"/>
                <w:kern w:val="0"/>
                <w:szCs w:val="20"/>
                <w:lang w:val="pt-PT"/>
                <w14:ligatures w14:val="none"/>
              </w:rPr>
              <w:t>Ante-Projecto</w:t>
            </w:r>
            <w:proofErr w:type="spellEnd"/>
          </w:p>
        </w:tc>
        <w:tc>
          <w:tcPr>
            <w:tcW w:w="4945" w:type="dxa"/>
            <w:shd w:val="clear" w:color="auto" w:fill="002060"/>
          </w:tcPr>
          <w:p w14:paraId="367766D3" w14:textId="77777777" w:rsidR="006728C8" w:rsidRDefault="00045113">
            <w:pPr>
              <w:ind w:left="144"/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  <w:r>
              <w:rPr>
                <w:rFonts w:cs="Calibri"/>
                <w:kern w:val="0"/>
                <w:szCs w:val="20"/>
                <w:lang w:val="pt-PT"/>
                <w14:ligatures w14:val="none"/>
              </w:rPr>
              <w:t>3. Acha que a medida proposta responde ao desafio identificado?  (Inserir o RESUMO da contribuição)</w:t>
            </w:r>
          </w:p>
        </w:tc>
      </w:tr>
      <w:tr w:rsidR="006728C8" w:rsidRPr="0060767C" w14:paraId="367766D6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67766D5" w14:textId="77777777" w:rsidR="006728C8" w:rsidRPr="0060767C" w:rsidRDefault="0004511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60767C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Legais</w:t>
            </w:r>
          </w:p>
        </w:tc>
      </w:tr>
      <w:tr w:rsidR="006728C8" w:rsidRPr="0060767C" w14:paraId="367766DD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6D7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Falta de regulamentação para matérias emergentes ou de alta criticidade ambiental</w:t>
            </w:r>
          </w:p>
        </w:tc>
        <w:tc>
          <w:tcPr>
            <w:tcW w:w="5675" w:type="dxa"/>
          </w:tcPr>
          <w:p w14:paraId="367766D8" w14:textId="77777777" w:rsidR="006728C8" w:rsidRPr="0060767C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60767C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367766D9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Mudanças Climáticas - A Lei regula a certificação de redução de emissões e absorção de gases de efeito de estufa, que está ligado ao mercado de carbono que pode gerar rendimentos para o sector privado.</w:t>
            </w:r>
          </w:p>
          <w:p w14:paraId="367766DA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Instrumentos Económicos – estimula-se o desenvolvimento e atracção de investimentos voltados para a oferta e produção de serviços com base em tecnologias ambientalmente sustentáveis.</w:t>
            </w:r>
          </w:p>
          <w:p w14:paraId="367766DB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Mercado de Carbono – Prevê a criação de um sistema de comércio de carbono, de comercio de emissões e outros mecanismos de mercado como sejam os bancos de conservação ou pagamentos por serviços ambientais para permitir a participação das indústrias nacionais e outros investidores nos mecanismos criados por acordos internacionais ratificados por Moçambique.</w:t>
            </w:r>
          </w:p>
        </w:tc>
        <w:tc>
          <w:tcPr>
            <w:tcW w:w="4945" w:type="dxa"/>
          </w:tcPr>
          <w:p w14:paraId="367766DC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6E7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6DE" w14:textId="77777777" w:rsidR="006728C8" w:rsidRDefault="006728C8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6DF" w14:textId="77777777" w:rsidR="006728C8" w:rsidRPr="0060767C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60767C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367766E0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Elaborar o regulamento das mudanças climáticas com ênfase na adaptação e mitigação, visando a resiliência climática</w:t>
            </w:r>
          </w:p>
          <w:p w14:paraId="367766E1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Elaborar regulamentos e normas técnicas para áreas tais como economia circular, lixo electrónico, créditos de carbono, entre outros</w:t>
            </w:r>
          </w:p>
          <w:p w14:paraId="367766E2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Regular o uso de espécies exóticas com potencial económico, assegurando avaliações de risco ambiental e planos de maneio sustentáveis</w:t>
            </w:r>
          </w:p>
          <w:p w14:paraId="367766E3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Estabelecer padrões e regulamentação sobre eficiência energética em edifícios públicos e privados, suportados por mecanismos de monitoria e certificação de eficiência energética</w:t>
            </w:r>
          </w:p>
          <w:p w14:paraId="367766E4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Estabelecer e aplicar normas de responsabilidade ambiental, aplicáveis a entidades e operadores públicos e privados</w:t>
            </w:r>
          </w:p>
          <w:p w14:paraId="367766E5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Introduzir gradualmente instrumentos jurídicos e financeiros inovadores, como a responsabilidade ambiental objectiva e o seguro de responsabilidade ambiental, criando maior previsibilidade e capacidade de resposta perante danos ambientais</w:t>
            </w:r>
          </w:p>
        </w:tc>
        <w:tc>
          <w:tcPr>
            <w:tcW w:w="4945" w:type="dxa"/>
          </w:tcPr>
          <w:p w14:paraId="367766E6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6E9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67766E8" w14:textId="77777777" w:rsidR="006728C8" w:rsidRPr="0060767C" w:rsidRDefault="0004511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60767C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lastRenderedPageBreak/>
              <w:t xml:space="preserve">Aspectos </w:t>
            </w:r>
            <w:proofErr w:type="spellStart"/>
            <w:r w:rsidRPr="0060767C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Socio-económicos</w:t>
            </w:r>
            <w:proofErr w:type="spellEnd"/>
          </w:p>
        </w:tc>
      </w:tr>
      <w:tr w:rsidR="006728C8" w:rsidRPr="0060767C" w14:paraId="367766EF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6EA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Fraca dotação orçamental pública ao sector do ambiente, agravada pela grande dependência do país em relação ao financiamento externo</w:t>
            </w:r>
          </w:p>
        </w:tc>
        <w:tc>
          <w:tcPr>
            <w:tcW w:w="5675" w:type="dxa"/>
          </w:tcPr>
          <w:p w14:paraId="367766EB" w14:textId="77777777" w:rsidR="006728C8" w:rsidRPr="0060767C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</w:pPr>
            <w:r w:rsidRPr="0060767C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 xml:space="preserve">Na Lei: </w:t>
            </w:r>
          </w:p>
          <w:p w14:paraId="367766EC" w14:textId="5DE4D7EB" w:rsidR="006728C8" w:rsidRDefault="00045113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Elaborar planos e orçamentos com prioridade nacional;</w:t>
            </w:r>
          </w:p>
          <w:p w14:paraId="367766ED" w14:textId="77777777" w:rsidR="006728C8" w:rsidRDefault="00045113">
            <w:pPr>
              <w:pStyle w:val="ListParagraph3"/>
              <w:numPr>
                <w:ilvl w:val="0"/>
                <w:numId w:val="2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Prever dotações especificas à conservação e protecção ambiental.</w:t>
            </w:r>
          </w:p>
        </w:tc>
        <w:tc>
          <w:tcPr>
            <w:tcW w:w="4945" w:type="dxa"/>
          </w:tcPr>
          <w:p w14:paraId="367766EE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6F7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6F0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6F1" w14:textId="3FDEB57A" w:rsidR="006728C8" w:rsidRPr="0060767C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60767C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Na Pol</w:t>
            </w:r>
            <w:r w:rsidR="0060767C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í</w:t>
            </w:r>
            <w:r w:rsidRPr="0060767C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tica:</w:t>
            </w:r>
          </w:p>
          <w:p w14:paraId="367766F2" w14:textId="77777777" w:rsidR="006728C8" w:rsidRDefault="00045113">
            <w:pPr>
              <w:pStyle w:val="ListParagraph3"/>
              <w:numPr>
                <w:ilvl w:val="0"/>
                <w:numId w:val="3"/>
              </w:numP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Reforçar os mecanismos de financiamento ambiental sustentáveis, tais como taxas e impostos ambientais, créditos de carbono, obrigações sustentáveis (verdes e azuis), Pagamentos por produtos e Serviços Ambientais (PSA), entre outros</w:t>
            </w:r>
          </w:p>
          <w:p w14:paraId="367766F3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Assegurar uma dotação financeira ao Sector do Ambiente correspondente a, pelo menos, 2.5% do PIB nacional</w:t>
            </w:r>
          </w:p>
          <w:p w14:paraId="367766F4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Criar um Fundo dedicado a gestão e canalização das receitas provenientes do sector do Ambiente</w:t>
            </w:r>
          </w:p>
          <w:p w14:paraId="367766F5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Estimular parcerias estratégicas com o sector privado, a sociedade civil e a academia, para mobilizar recursos, inovação e investimento em iniciativas ambientais, por meio de incentivos fiscais e económicos, critérios de aquisições públicas sustentáveis, entre outros</w:t>
            </w:r>
          </w:p>
        </w:tc>
        <w:tc>
          <w:tcPr>
            <w:tcW w:w="4945" w:type="dxa"/>
          </w:tcPr>
          <w:p w14:paraId="367766F6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04" w14:textId="77777777">
        <w:trPr>
          <w:trHeight w:val="20"/>
          <w:jc w:val="center"/>
        </w:trPr>
        <w:tc>
          <w:tcPr>
            <w:tcW w:w="2965" w:type="dxa"/>
          </w:tcPr>
          <w:p w14:paraId="367766F8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Gestão ambiental encarada com despesa e não investimento</w:t>
            </w:r>
          </w:p>
        </w:tc>
        <w:tc>
          <w:tcPr>
            <w:tcW w:w="5675" w:type="dxa"/>
          </w:tcPr>
          <w:p w14:paraId="367766FA" w14:textId="155C29B5" w:rsidR="006728C8" w:rsidRPr="0081530A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</w:pPr>
            <w:r w:rsidRPr="00041C62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 xml:space="preserve">Na </w:t>
            </w:r>
            <w:r w:rsidR="0081530A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Política</w:t>
            </w:r>
            <w:r w:rsidRPr="00041C62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 xml:space="preserve">: </w:t>
            </w:r>
          </w:p>
          <w:p w14:paraId="367766FB" w14:textId="77777777" w:rsidR="006728C8" w:rsidRDefault="00045113">
            <w:pPr>
              <w:pStyle w:val="ListParagraph3"/>
              <w:numPr>
                <w:ilvl w:val="0"/>
                <w:numId w:val="4"/>
              </w:numP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Assegurar a efectiva implementação do princípio do poluidor-pagador, cumprindo com os princípios da responsabilidade objectiva</w:t>
            </w:r>
          </w:p>
          <w:p w14:paraId="367766FC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Assegurar a efectiva implementação do regulamento do selo ambiental</w:t>
            </w:r>
          </w:p>
          <w:p w14:paraId="367766FD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Consolidar mecanismos de compensação ecológica provenientes dos mecanismos económicos e fiscais vinculados à exploração de recursos naturais</w:t>
            </w:r>
          </w:p>
          <w:p w14:paraId="367766FE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Desenvolver ferramentas para valoração do Capital Natural</w:t>
            </w:r>
          </w:p>
          <w:p w14:paraId="367766FF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Institucionalizar a contabilidade do capital natural como base do desenvolvimento sustentável</w:t>
            </w:r>
          </w:p>
          <w:p w14:paraId="36776700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Criar mecanismos de sensibilização junto de instituições financeiras e sectores produtivos sobre riscos e oportunidades do capital natural</w:t>
            </w:r>
          </w:p>
          <w:p w14:paraId="36776701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7. Mobilizar apoio técnico e financeiro para cobertura de perdas não seguráveis e para acções de recuperação de meios de vida e serviços essenciais</w:t>
            </w:r>
          </w:p>
          <w:p w14:paraId="36776702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Criar e manter uma base de dados nacional de perdas e danos climáticos para apoiar decisões de investimento e resposta adequada</w:t>
            </w:r>
          </w:p>
        </w:tc>
        <w:tc>
          <w:tcPr>
            <w:tcW w:w="4945" w:type="dxa"/>
          </w:tcPr>
          <w:p w14:paraId="36776703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0A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05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Falta de incentivos às práticas de produção amigas do ambiente</w:t>
            </w:r>
          </w:p>
        </w:tc>
        <w:tc>
          <w:tcPr>
            <w:tcW w:w="5675" w:type="dxa"/>
          </w:tcPr>
          <w:p w14:paraId="36776706" w14:textId="77777777" w:rsidR="006728C8" w:rsidRPr="0081530A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</w:pPr>
            <w:r w:rsidRPr="0081530A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Na Lei:</w:t>
            </w:r>
          </w:p>
          <w:p w14:paraId="36776707" w14:textId="77777777" w:rsidR="006728C8" w:rsidRDefault="00045113">
            <w:pPr>
              <w:pStyle w:val="ListParagraph3"/>
              <w:numPr>
                <w:ilvl w:val="0"/>
                <w:numId w:val="5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Incentivos – estabelece-se a previsão de criação de incentivos económicos e fiscais ou de outra natureza com vista a encorajar a utilização de tecnologias e processos produtivos ambientalmente sãos.</w:t>
            </w:r>
          </w:p>
          <w:p w14:paraId="36776708" w14:textId="77777777" w:rsidR="006728C8" w:rsidRDefault="00045113">
            <w:pPr>
              <w:pStyle w:val="ListParagraph3"/>
              <w:numPr>
                <w:ilvl w:val="0"/>
                <w:numId w:val="5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Definição de incentivos para estudos e pesquisas de tecnologias orientadas para o uso racional e a protecção das componentes ambientais.</w:t>
            </w:r>
          </w:p>
        </w:tc>
        <w:tc>
          <w:tcPr>
            <w:tcW w:w="4945" w:type="dxa"/>
          </w:tcPr>
          <w:p w14:paraId="36776709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11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0B" w14:textId="77777777" w:rsidR="006728C8" w:rsidRDefault="006728C8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0C" w14:textId="77777777" w:rsidR="006728C8" w:rsidRPr="0081530A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81530A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  <w:r w:rsidRPr="0081530A">
              <w:rPr>
                <w:rFonts w:cs="Calibri"/>
                <w:b/>
                <w:bCs/>
                <w:sz w:val="20"/>
                <w:szCs w:val="20"/>
                <w:lang w:val="pt-PT"/>
              </w:rPr>
              <w:t xml:space="preserve"> </w:t>
            </w:r>
          </w:p>
          <w:p w14:paraId="3677670D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Promover certificação, rotulagem e incentivos fiscais para empresas que adoptem práticas ambientalmente limpas </w:t>
            </w:r>
          </w:p>
          <w:p w14:paraId="3677670E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Criar mecanismos de compensação ambiental e seguro de responsabilidade ambiental para actividades potencialmente geradoras de impactos ambientais negativos de grande magnitude</w:t>
            </w:r>
          </w:p>
          <w:p w14:paraId="3677670F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Integrar cláusulas ambientais robustas em acordos comerciais</w:t>
            </w:r>
          </w:p>
        </w:tc>
        <w:tc>
          <w:tcPr>
            <w:tcW w:w="4945" w:type="dxa"/>
          </w:tcPr>
          <w:p w14:paraId="36776710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1C" w14:textId="77777777">
        <w:trPr>
          <w:trHeight w:val="20"/>
          <w:jc w:val="center"/>
        </w:trPr>
        <w:tc>
          <w:tcPr>
            <w:tcW w:w="2965" w:type="dxa"/>
          </w:tcPr>
          <w:p w14:paraId="36776712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Fraca adopção de tecnologias limpas e soluções inovadoras</w:t>
            </w:r>
          </w:p>
        </w:tc>
        <w:tc>
          <w:tcPr>
            <w:tcW w:w="5675" w:type="dxa"/>
          </w:tcPr>
          <w:p w14:paraId="36776713" w14:textId="24C95595" w:rsidR="006728C8" w:rsidRPr="00BA75BA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</w:pPr>
            <w:r w:rsidRPr="00BA75BA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 xml:space="preserve">Na </w:t>
            </w:r>
            <w:r w:rsidR="00BA75BA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Política</w:t>
            </w:r>
            <w:r w:rsidRPr="00BA75BA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:</w:t>
            </w:r>
          </w:p>
          <w:p w14:paraId="36776714" w14:textId="77777777" w:rsidR="006728C8" w:rsidRDefault="00045113">
            <w:pPr>
              <w:pStyle w:val="ListParagraph3"/>
              <w:numPr>
                <w:ilvl w:val="0"/>
                <w:numId w:val="6"/>
              </w:numP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Estimular a implementação do Plano de Transição Energética para Fontes Renováveis</w:t>
            </w:r>
          </w:p>
          <w:p w14:paraId="36776715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Prosseguir com a implementação de projectos estruturantes de energias renováveis (solar, eólica, hídrica e outras), com especial atenção à electrificação universal</w:t>
            </w:r>
          </w:p>
          <w:p w14:paraId="36776716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Promover a descarbonização progressiva dos sectores de energia, transportes e processos industriais, em conformidade com o preconizado nas Contribuições Nacionalmente Determinadas (NDC)</w:t>
            </w:r>
          </w:p>
          <w:p w14:paraId="36776717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Incentivar parcerias público-privadas para investimento em energias renováveis e eficiência energética, com regulação adequada e mecanismos de monitoria e reporte</w:t>
            </w:r>
          </w:p>
          <w:p w14:paraId="36776718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5. Promover a economia circular e negócios verdes baseados na reciclagem e valorização de resíduos sólidos, efluentes e  lixo marinho</w:t>
            </w:r>
          </w:p>
          <w:p w14:paraId="36776719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5. Integrar a componente mobilidade urbana sustentável (transporte público, ciclovias, passeios) nos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IOTs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de nível autárquico</w:t>
            </w:r>
          </w:p>
          <w:p w14:paraId="3677671A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Estabelecer cidades verdes e introdução de transporte urbano colectivo verde</w:t>
            </w:r>
          </w:p>
        </w:tc>
        <w:tc>
          <w:tcPr>
            <w:tcW w:w="4945" w:type="dxa"/>
          </w:tcPr>
          <w:p w14:paraId="3677671B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21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1D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Fraca participação pública na governação ambiental</w:t>
            </w:r>
          </w:p>
        </w:tc>
        <w:tc>
          <w:tcPr>
            <w:tcW w:w="5675" w:type="dxa"/>
          </w:tcPr>
          <w:p w14:paraId="3677671E" w14:textId="77777777" w:rsidR="006728C8" w:rsidRPr="000D3606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0D3606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3677671F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Estabelece-se um capítulo sobre participação pública que abre espaço para a intervenção de todas as partes interessadas no processo de gestão e tomada de decisão sobre questões ambientais e de mudanças climáticas. </w:t>
            </w:r>
          </w:p>
        </w:tc>
        <w:tc>
          <w:tcPr>
            <w:tcW w:w="4945" w:type="dxa"/>
          </w:tcPr>
          <w:p w14:paraId="36776720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2B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22" w14:textId="77777777" w:rsidR="006728C8" w:rsidRDefault="006728C8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23" w14:textId="77777777" w:rsidR="006728C8" w:rsidRPr="000D3606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0D3606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Política:</w:t>
            </w:r>
          </w:p>
          <w:p w14:paraId="36776724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Promover a participação comunitária efectiva e informada no processo de gestão ambiental, assegurando representatividade e responsabilidade compartilhada</w:t>
            </w:r>
          </w:p>
          <w:p w14:paraId="36776725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Mapear, sistematizar e reconhecer práticas e conhecimentos tradicionais para a adaptação climática</w:t>
            </w:r>
          </w:p>
          <w:p w14:paraId="36776726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Estabelecer mecanismos de diálogo a todos os níveis, assegurando representação de sociedade civil, sector privado, academia, comunidades locais, mulher, jovens e pessoas com deficiência e outros grupos vulneráveis</w:t>
            </w:r>
          </w:p>
          <w:p w14:paraId="36776727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Fortalecer a participação da mulher, jovens e pessoas com deficiência na governação ambiental, com metas de equidade para sua integração</w:t>
            </w:r>
          </w:p>
          <w:p w14:paraId="36776728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campanhas nacionais de sensibilização e educação ambiental, com recurso as Tecnologias de Informação e Comunicação, integrando línguas e órgãos de comunicação locais</w:t>
            </w:r>
          </w:p>
          <w:p w14:paraId="36776729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Institucionalizar sistemas de monitoria e avaliação participativa em todo o processo de gestão ambiental</w:t>
            </w:r>
          </w:p>
        </w:tc>
        <w:tc>
          <w:tcPr>
            <w:tcW w:w="4945" w:type="dxa"/>
          </w:tcPr>
          <w:p w14:paraId="3677672A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33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2C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Pobreza e debilidade económica do país</w:t>
            </w:r>
          </w:p>
        </w:tc>
        <w:tc>
          <w:tcPr>
            <w:tcW w:w="5675" w:type="dxa"/>
          </w:tcPr>
          <w:p w14:paraId="3677672D" w14:textId="77777777" w:rsidR="006728C8" w:rsidRPr="000D3606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</w:pPr>
            <w:r w:rsidRPr="000D3606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t>Na Lei:</w:t>
            </w:r>
          </w:p>
          <w:p w14:paraId="3677672E" w14:textId="77777777" w:rsidR="006728C8" w:rsidRDefault="00045113">
            <w:pPr>
              <w:pStyle w:val="ListParagraph3"/>
              <w:numPr>
                <w:ilvl w:val="0"/>
                <w:numId w:val="7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Na mitigação e adaptação às mudanças climáticas prevê-se mudanças de uso de terra e recursos naturais com a adopção de políticas sustentáveis;</w:t>
            </w:r>
          </w:p>
          <w:p w14:paraId="3677672F" w14:textId="77777777" w:rsidR="006728C8" w:rsidRDefault="00045113">
            <w:pPr>
              <w:pStyle w:val="ListParagraph3"/>
              <w:numPr>
                <w:ilvl w:val="0"/>
                <w:numId w:val="7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Planificação de infraestruturas resilientes;</w:t>
            </w:r>
          </w:p>
          <w:p w14:paraId="36776730" w14:textId="77777777" w:rsidR="006728C8" w:rsidRDefault="00045113">
            <w:pPr>
              <w:pStyle w:val="ListParagraph3"/>
              <w:numPr>
                <w:ilvl w:val="0"/>
                <w:numId w:val="7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lastRenderedPageBreak/>
              <w:t>Aumento de conhecimento e capacidade de prevenção e gestão por parte das populações em lidar com as mudanças climáticas;</w:t>
            </w:r>
          </w:p>
          <w:p w14:paraId="36776731" w14:textId="77777777" w:rsidR="006728C8" w:rsidRDefault="00045113">
            <w:pPr>
              <w:pStyle w:val="ListParagraph3"/>
              <w:numPr>
                <w:ilvl w:val="0"/>
                <w:numId w:val="7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Prevê-se o Direito de acesso aos benefícios aos recursos naturais.</w:t>
            </w:r>
          </w:p>
        </w:tc>
        <w:tc>
          <w:tcPr>
            <w:tcW w:w="4945" w:type="dxa"/>
          </w:tcPr>
          <w:p w14:paraId="36776732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3F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34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35" w14:textId="48D20666" w:rsidR="006728C8" w:rsidRPr="00FD3537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FD3537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 xml:space="preserve">Na </w:t>
            </w:r>
            <w:r w:rsidR="00FD3537" w:rsidRPr="00FD3537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Política</w:t>
            </w:r>
            <w:r w:rsidRPr="00FD3537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  <w:r w:rsidRPr="00FD3537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D3537">
              <w:rPr>
                <w:rFonts w:cs="Calibri"/>
                <w:b/>
                <w:bCs/>
                <w:sz w:val="20"/>
                <w:szCs w:val="20"/>
                <w:lang w:val="pt-PT"/>
              </w:rPr>
              <w:t xml:space="preserve"> </w:t>
            </w:r>
          </w:p>
          <w:p w14:paraId="36776736" w14:textId="77777777" w:rsidR="006728C8" w:rsidRDefault="00045113">
            <w:pPr>
              <w:pStyle w:val="ListParagraph3"/>
              <w:numPr>
                <w:ilvl w:val="0"/>
                <w:numId w:val="8"/>
              </w:numP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Integrar a dimensão pobreza nos planos e programas de desenvolvimento a todos os níveis </w:t>
            </w:r>
          </w:p>
          <w:p w14:paraId="36776737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2. Integrar aspectos ambientais nos programas de protecção social e combate à pobreza, assegurando benefícios direcionados às comunidades mais vulneráveis </w:t>
            </w:r>
          </w:p>
          <w:p w14:paraId="36776738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Apoiar iniciativas comunitárias de recuperação ambiental e de meios de vida resilientes, com mecanismos de financiamento e assistência técnica</w:t>
            </w:r>
          </w:p>
          <w:p w14:paraId="36776739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Valorizar e integrar o conhecimento tradicional e a inovação na governação ambiental, apoiando iniciativas empreendedoras lideradas por mulheres e jovens</w:t>
            </w:r>
          </w:p>
          <w:p w14:paraId="3677673A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Desenvolver mecanismos de financiamento comunitário sustentável, incluindo microcrédito e apoio a associações locais, de modo a incentivar pequenos negócios e cadeias de valor baseadas em recursos naturais, com práticas ambientalmente responsáveis</w:t>
            </w:r>
          </w:p>
          <w:p w14:paraId="3677673B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 Promover fontes alternativas de rendimento compatíveis com a sustentabilidade e a conservação do meio ambiente</w:t>
            </w:r>
          </w:p>
          <w:p w14:paraId="3677673C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7. Garantir acesso equitativo a oportunidades e recursos naturais, aos grupos vulneráveis (mulher, jovens e pessoas com deficiência)</w:t>
            </w:r>
          </w:p>
          <w:p w14:paraId="3677673D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Estabelecer mecanismos de capacitação contínua para comunidades vulneráveis em práticas de gestão ambiental e adaptação às mudanças climáticas</w:t>
            </w:r>
          </w:p>
        </w:tc>
        <w:tc>
          <w:tcPr>
            <w:tcW w:w="4945" w:type="dxa"/>
          </w:tcPr>
          <w:p w14:paraId="3677673E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45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40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8. A crescente pressão sobre os recursos naturais, resultante do aumento populacional, de investimentos públicos e privados em áreas sensíveis e do crescimento urbano desordenado </w:t>
            </w: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com expansão de assentamentos informais</w:t>
            </w:r>
          </w:p>
        </w:tc>
        <w:tc>
          <w:tcPr>
            <w:tcW w:w="5675" w:type="dxa"/>
          </w:tcPr>
          <w:p w14:paraId="36776741" w14:textId="77777777" w:rsidR="006728C8" w:rsidRPr="00FD3537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</w:pPr>
            <w:r w:rsidRPr="00FD3537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en-GB"/>
              </w:rPr>
              <w:lastRenderedPageBreak/>
              <w:t xml:space="preserve">Na Lei: </w:t>
            </w:r>
          </w:p>
          <w:p w14:paraId="36776742" w14:textId="77777777" w:rsidR="006728C8" w:rsidRDefault="00045113">
            <w:pPr>
              <w:pStyle w:val="ListParagraph3"/>
              <w:numPr>
                <w:ilvl w:val="0"/>
                <w:numId w:val="9"/>
              </w:numPr>
              <w:spacing w:before="0" w:beforeAutospacing="0" w:line="240" w:lineRule="auto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Prevê-se o artigo de Zonamento Ambiental como medida de precaução de dano ambiental evitando-se assim a ocupação irregular ou desordenada de áreas.</w:t>
            </w:r>
          </w:p>
          <w:p w14:paraId="36776743" w14:textId="77777777" w:rsidR="006728C8" w:rsidRDefault="00045113">
            <w:pPr>
              <w:pStyle w:val="ListParagraph3"/>
              <w:numPr>
                <w:ilvl w:val="0"/>
                <w:numId w:val="9"/>
              </w:numPr>
              <w:spacing w:before="0" w:beforeAutospacing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>Previsão de garantia do enquadramento dos aspectos ambientais na implementação dos instrumentos de ordenamento do território.</w:t>
            </w:r>
          </w:p>
        </w:tc>
        <w:tc>
          <w:tcPr>
            <w:tcW w:w="4945" w:type="dxa"/>
          </w:tcPr>
          <w:p w14:paraId="36776744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51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46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47" w14:textId="57AB48A5" w:rsidR="006728C8" w:rsidRPr="00FD3537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FD3537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Pol</w:t>
            </w:r>
            <w:r w:rsidR="00FD3537" w:rsidRPr="00FD3537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í</w:t>
            </w:r>
            <w:r w:rsidRPr="00FD3537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tica:</w:t>
            </w:r>
          </w:p>
          <w:p w14:paraId="36776748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Institucionalizar a Avaliação Ambiental e Social Estratégica (AASE) e o Zoneamento Ambiental como instrumentos da Lei do Ambiente e do Ordenamento Territorial, aplicáveis a projectos públicos e privados, planos sectoriais e processos de atribuição e gestão de terras e do espaço marítimo</w:t>
            </w:r>
          </w:p>
          <w:p w14:paraId="36776749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2. Assegurar que o processo de atribuição de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DUATs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obedeça ao preconizado nos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IOTs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>, AASE, e de Zoneamento ambiental, aplicando-os sobretudo na mineração, hidrocarbonetos, pecuária, pesca e grandes infraestruturas</w:t>
            </w:r>
          </w:p>
          <w:p w14:paraId="3677674A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Elaborar e implementar planos de gestão integrada de bacias hidrográficas, zonas costeiras e ecossistemas críticos, alinhando-os ao preconizado nos instrumentos de gestão ambiental e de ordenamento territorial</w:t>
            </w:r>
          </w:p>
          <w:p w14:paraId="3677674B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padrões de urbanização sustentável e cidades verdes</w:t>
            </w:r>
          </w:p>
          <w:p w14:paraId="3677674C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6.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pt-PT"/>
              </w:rPr>
              <w:t>Integrar o Plano de Ordenamento do Espaço Marítimo no Plano Nacional de Desenvolvimento Territorial</w:t>
            </w:r>
          </w:p>
          <w:p w14:paraId="3677674D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7. Reforçar a fiscalização da implementação dos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IOTs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>, eliminando progressivamente assentamentos humanos em zonas de risco</w:t>
            </w:r>
          </w:p>
          <w:p w14:paraId="3677674E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8. Operacionalizar a Comissão Interministerial para o Ordenamento do Território (CIOT)</w:t>
            </w:r>
          </w:p>
          <w:p w14:paraId="3677674F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9. Reforçar o acesso aos serviços básicos (saneamento, drenagem, abastecimento de água) em comunidades vulneráveis, em particular nos assentamentos informais em cidades e vilas, assegurando a redução de riscos de saúde pública e aumento da resiliência climática</w:t>
            </w:r>
          </w:p>
        </w:tc>
        <w:tc>
          <w:tcPr>
            <w:tcW w:w="4945" w:type="dxa"/>
          </w:tcPr>
          <w:p w14:paraId="36776750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2D0A5D" w14:paraId="36776753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6776752" w14:textId="77777777" w:rsidR="006728C8" w:rsidRPr="002D0A5D" w:rsidRDefault="0004511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2D0A5D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Aspectos Ecológicos e Climáticos</w:t>
            </w:r>
          </w:p>
        </w:tc>
      </w:tr>
      <w:tr w:rsidR="006728C8" w:rsidRPr="006C0531" w14:paraId="36776759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54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6. Degradação contínua de ecossistemas e habitats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naturais</w:t>
            </w:r>
          </w:p>
        </w:tc>
        <w:tc>
          <w:tcPr>
            <w:tcW w:w="5675" w:type="dxa"/>
          </w:tcPr>
          <w:p w14:paraId="36776755" w14:textId="77777777" w:rsidR="006728C8" w:rsidRPr="006F5519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6F5519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 xml:space="preserve">Na Lei: </w:t>
            </w:r>
          </w:p>
          <w:p w14:paraId="36776756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Assegura-se um mecanismo de nenhuma perda líquida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pela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 implementação de projectos que afectem comunidades locais através da aplicação adequada da hierarquia de mitigação –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Art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 – 14, n.º 4 e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Art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>. 20.</w:t>
            </w:r>
          </w:p>
          <w:p w14:paraId="36776757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Cs/>
                <w:sz w:val="20"/>
                <w:szCs w:val="20"/>
                <w:lang w:val="pt-PT"/>
              </w:rPr>
              <w:t xml:space="preserve">Prevê-se a possibilidade de o Governo declarar zonas críticas e situações de emergência – </w:t>
            </w:r>
            <w:proofErr w:type="spellStart"/>
            <w:r>
              <w:rPr>
                <w:rFonts w:cs="Calibri"/>
                <w:iCs/>
                <w:sz w:val="20"/>
                <w:szCs w:val="20"/>
                <w:lang w:val="pt-PT"/>
              </w:rPr>
              <w:t>Art</w:t>
            </w:r>
            <w:proofErr w:type="spellEnd"/>
            <w:r>
              <w:rPr>
                <w:rFonts w:cs="Calibri"/>
                <w:iCs/>
                <w:sz w:val="20"/>
                <w:szCs w:val="20"/>
                <w:lang w:val="pt-PT"/>
              </w:rPr>
              <w:t>. 21.</w:t>
            </w:r>
          </w:p>
        </w:tc>
        <w:tc>
          <w:tcPr>
            <w:tcW w:w="4945" w:type="dxa"/>
          </w:tcPr>
          <w:p w14:paraId="36776758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63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5A" w14:textId="77777777" w:rsidR="006728C8" w:rsidRDefault="006728C8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5B" w14:textId="77777777" w:rsidR="006728C8" w:rsidRPr="006F5519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6F5519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proofErr w:type="gramStart"/>
            <w:r w:rsidRPr="006F5519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Politica</w:t>
            </w:r>
            <w:proofErr w:type="gramEnd"/>
            <w:r w:rsidRPr="006F5519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  <w:r w:rsidRPr="006F5519">
              <w:rPr>
                <w:rFonts w:cs="Calibri"/>
                <w:b/>
                <w:bCs/>
                <w:sz w:val="20"/>
                <w:szCs w:val="20"/>
                <w:lang w:val="pt-PT"/>
              </w:rPr>
              <w:t xml:space="preserve"> </w:t>
            </w:r>
          </w:p>
          <w:p w14:paraId="3677675C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1. Mapear as áreas em risco de desertificação e elaborar planos de intervenção para a sua redução e reversão, integrando bases científicas e conhecimento local</w:t>
            </w:r>
          </w:p>
          <w:p w14:paraId="3677675D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2. Desenvolver e implementar programas de conservação de solos e reflorestamento em áreas críticas, incluindo zonas áridas e semiáridas, combinando práticas tradicionais e inovação científica</w:t>
            </w:r>
          </w:p>
          <w:p w14:paraId="3677675E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3. Adoptar medidas de conservação do solo e da água em ecossistemas críticos, prevenindo erosão, desertificação e a salinização</w:t>
            </w:r>
          </w:p>
          <w:p w14:paraId="3677675F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4. Recuperar habitats marinhos e terrestres degradados através de planos de restauro, com metas mensuráveis</w:t>
            </w:r>
          </w:p>
          <w:p w14:paraId="36776760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 Promover a  criação de viveiros comunitários de espécies nativas e incentivar comunidades, sector privado e outros interessados no plantio de espécies nativas e implementação de programas de reflorestamento</w:t>
            </w:r>
          </w:p>
          <w:p w14:paraId="36776761" w14:textId="77777777" w:rsidR="006728C8" w:rsidRDefault="000451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6. Estabelecer corredores ecológicos e zonas tampão que assegurem a conectividade entre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habitats</w:t>
            </w:r>
            <w:r>
              <w:rPr>
                <w:rFonts w:cs="Calibri"/>
                <w:sz w:val="20"/>
                <w:szCs w:val="20"/>
                <w:lang w:val="pt-PT"/>
              </w:rPr>
              <w:t xml:space="preserve"> e ecossistemas, incluindo os das zonas transfronteiriças, visando o reforço da resiliência ambiental</w:t>
            </w:r>
          </w:p>
        </w:tc>
        <w:tc>
          <w:tcPr>
            <w:tcW w:w="4945" w:type="dxa"/>
          </w:tcPr>
          <w:p w14:paraId="36776762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0F18E2" w14:paraId="36776765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36776764" w14:textId="77777777" w:rsidR="006728C8" w:rsidRPr="000F18E2" w:rsidRDefault="0004511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0F18E2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C. Papel dos Diferentes Intervenientes</w:t>
            </w:r>
          </w:p>
        </w:tc>
      </w:tr>
      <w:tr w:rsidR="006728C8" w:rsidRPr="0060767C" w14:paraId="36776771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66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67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68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69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6A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6B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6C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Sector privado</w:t>
            </w:r>
          </w:p>
        </w:tc>
        <w:tc>
          <w:tcPr>
            <w:tcW w:w="5675" w:type="dxa"/>
          </w:tcPr>
          <w:p w14:paraId="3677676D" w14:textId="77777777" w:rsidR="006728C8" w:rsidRPr="006F5519" w:rsidRDefault="00045113" w:rsidP="006F5519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6F5519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Na Lei:</w:t>
            </w:r>
          </w:p>
          <w:p w14:paraId="3677676E" w14:textId="77777777" w:rsidR="006728C8" w:rsidRDefault="00045113" w:rsidP="006F5519">
            <w:pPr>
              <w:pStyle w:val="ListParagraph3"/>
              <w:numPr>
                <w:ilvl w:val="0"/>
                <w:numId w:val="10"/>
              </w:numPr>
              <w:spacing w:before="0" w:line="240" w:lineRule="auto"/>
              <w:ind w:left="246" w:hanging="246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Prevê-se que a nível da composição da CONDES o sector privado seja considerado membro.</w:t>
            </w:r>
          </w:p>
          <w:p w14:paraId="3677676F" w14:textId="77777777" w:rsidR="006728C8" w:rsidRDefault="00045113" w:rsidP="006F5519">
            <w:pPr>
              <w:pStyle w:val="ListParagraph3"/>
              <w:numPr>
                <w:ilvl w:val="0"/>
                <w:numId w:val="10"/>
              </w:numPr>
              <w:spacing w:before="0" w:line="240" w:lineRule="auto"/>
              <w:ind w:left="246" w:hanging="246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Envolvimento dos diferentes sectores da sociedade incluindo o sector privado na elaboração de políticas e legislação que afecte de forma directa e indirecta o meio ambiente e o clima.</w:t>
            </w:r>
          </w:p>
        </w:tc>
        <w:tc>
          <w:tcPr>
            <w:tcW w:w="4945" w:type="dxa"/>
          </w:tcPr>
          <w:p w14:paraId="36776770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7A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72" w14:textId="77777777" w:rsidR="006728C8" w:rsidRDefault="006728C8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73" w14:textId="77777777" w:rsidR="006728C8" w:rsidRPr="006F5519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</w:pPr>
            <w:r w:rsidRPr="006F5519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 xml:space="preserve">Na </w:t>
            </w:r>
            <w:proofErr w:type="gramStart"/>
            <w:r w:rsidRPr="006F5519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Politica</w:t>
            </w:r>
            <w:proofErr w:type="gramEnd"/>
            <w:r w:rsidRPr="006F5519">
              <w:rPr>
                <w:rFonts w:cs="Calibri"/>
                <w:b/>
                <w:bCs/>
                <w:iCs/>
                <w:sz w:val="20"/>
                <w:szCs w:val="20"/>
                <w:u w:val="single"/>
                <w:lang w:val="pt-PT"/>
              </w:rPr>
              <w:t>:</w:t>
            </w:r>
          </w:p>
          <w:p w14:paraId="36776774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(i) participar e apoiar o Governo no processo de elaboração dos instrumentos de gestão ambiental e de ordenamento territorial;</w:t>
            </w:r>
          </w:p>
          <w:p w14:paraId="36776775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(ii) participar no processo de formulação do quadro legal de políticas e legislação ambiental e do ordenamento territorial, e na sua implementação;</w:t>
            </w:r>
          </w:p>
          <w:p w14:paraId="36776776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(iii) adoptar boas-práticas de acesso e utilização racional dos recursos naturais, tomando em atenção as normas e padrões nacionais, regionais e internacionais;</w:t>
            </w:r>
          </w:p>
          <w:p w14:paraId="36776777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(iv) adoptar boas-práticas de gestão ambiental nos processos produtivos, garantido uma produção verde, azul, assentes numa economia circular e regenerativa, bem como na adaptação e mitigação do impacto das mudanças climáticas e eventos extremos;</w:t>
            </w:r>
          </w:p>
          <w:p w14:paraId="36776778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(v) contribuir para o alívio da pobreza, através da criação de postos de emprego, especialmente para as comunidades e grupos vulneráveis.</w:t>
            </w:r>
          </w:p>
        </w:tc>
        <w:tc>
          <w:tcPr>
            <w:tcW w:w="4945" w:type="dxa"/>
          </w:tcPr>
          <w:p w14:paraId="36776779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81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7B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7C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7D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Parceiros de cooperação</w:t>
            </w:r>
          </w:p>
        </w:tc>
        <w:tc>
          <w:tcPr>
            <w:tcW w:w="5675" w:type="dxa"/>
          </w:tcPr>
          <w:p w14:paraId="3677677E" w14:textId="77777777" w:rsidR="006728C8" w:rsidRPr="000F18E2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0F18E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Na Lei:</w:t>
            </w:r>
          </w:p>
          <w:p w14:paraId="3677677F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Prevê-se a inclusão dos parceiros de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coopoeração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na gestão colaborativa e integrada com vista ao reforço da protecção ambiental e mitigação das mudanças climáticas.</w:t>
            </w:r>
          </w:p>
        </w:tc>
        <w:tc>
          <w:tcPr>
            <w:tcW w:w="4945" w:type="dxa"/>
          </w:tcPr>
          <w:p w14:paraId="36776780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87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82" w14:textId="77777777" w:rsidR="006728C8" w:rsidRDefault="006728C8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83" w14:textId="4BCFA4B6" w:rsidR="006728C8" w:rsidRPr="000F18E2" w:rsidRDefault="00045113">
            <w:pPr>
              <w:pStyle w:val="ListParagraph3"/>
              <w:spacing w:before="0" w:line="240" w:lineRule="auto"/>
              <w:ind w:left="0"/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</w:pPr>
            <w:r w:rsidRPr="000F18E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 xml:space="preserve">Na </w:t>
            </w:r>
            <w:r w:rsidR="000F18E2" w:rsidRPr="000F18E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Política</w:t>
            </w:r>
            <w:r w:rsidRPr="000F18E2">
              <w:rPr>
                <w:rFonts w:cs="Calibri"/>
                <w:b/>
                <w:bCs/>
                <w:sz w:val="20"/>
                <w:szCs w:val="20"/>
                <w:u w:val="single"/>
                <w:lang w:val="pt-PT"/>
              </w:rPr>
              <w:t>:</w:t>
            </w:r>
          </w:p>
          <w:p w14:paraId="36776784" w14:textId="77777777" w:rsidR="006728C8" w:rsidRDefault="00045113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(i) contribuir e apoiar na mobilização de recursos financeiros, matérias, tecnológicos, e na assistência técnica, no contexto do desenvolvimento sustentável do país;</w:t>
            </w:r>
          </w:p>
          <w:p w14:paraId="36776785" w14:textId="77777777" w:rsidR="006728C8" w:rsidRDefault="00045113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(ii) promover e facilitar a cooperação técnico-administrativa nos diversos domínios da gestão ambiental e de redução de riscos e desastres</w:t>
            </w:r>
          </w:p>
        </w:tc>
        <w:tc>
          <w:tcPr>
            <w:tcW w:w="4945" w:type="dxa"/>
          </w:tcPr>
          <w:p w14:paraId="36776786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0F18E2" w14:paraId="36776789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36776788" w14:textId="77777777" w:rsidR="006728C8" w:rsidRPr="000F18E2" w:rsidRDefault="0004511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0F18E2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D. Mecanismos de Financiamento</w:t>
            </w:r>
          </w:p>
        </w:tc>
      </w:tr>
      <w:tr w:rsidR="006728C8" w:rsidRPr="0060767C" w14:paraId="36776795" w14:textId="77777777">
        <w:trPr>
          <w:trHeight w:val="20"/>
          <w:jc w:val="center"/>
        </w:trPr>
        <w:tc>
          <w:tcPr>
            <w:tcW w:w="2965" w:type="dxa"/>
            <w:vMerge w:val="restart"/>
          </w:tcPr>
          <w:p w14:paraId="3677678A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8B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8C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8D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8E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8F" w14:textId="77777777" w:rsidR="006728C8" w:rsidRDefault="006728C8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  <w:p w14:paraId="36776790" w14:textId="77777777" w:rsidR="006728C8" w:rsidRDefault="00045113">
            <w:pPr>
              <w:pStyle w:val="ListParagraph3"/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Financiamento privado e mecanismos económicos e fiscais</w:t>
            </w:r>
          </w:p>
        </w:tc>
        <w:tc>
          <w:tcPr>
            <w:tcW w:w="5675" w:type="dxa"/>
          </w:tcPr>
          <w:p w14:paraId="36776791" w14:textId="77777777" w:rsidR="006728C8" w:rsidRPr="000F18E2" w:rsidRDefault="00045113" w:rsidP="000F18E2">
            <w:pPr>
              <w:pStyle w:val="ListParagraph3"/>
              <w:spacing w:before="0" w:line="240" w:lineRule="auto"/>
              <w:ind w:left="-24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</w:pPr>
            <w:r w:rsidRPr="000F18E2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Na Lei:</w:t>
            </w:r>
          </w:p>
          <w:p w14:paraId="36776792" w14:textId="77777777" w:rsidR="006728C8" w:rsidRDefault="00045113" w:rsidP="000F18E2">
            <w:pPr>
              <w:pStyle w:val="ListParagraph3"/>
              <w:numPr>
                <w:ilvl w:val="0"/>
                <w:numId w:val="10"/>
              </w:numPr>
              <w:spacing w:before="0" w:line="240" w:lineRule="auto"/>
              <w:ind w:left="246" w:hanging="246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Prevê-se um artigo de estabelecimento de taxas especificas para a realização de actividades e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pelo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pagamento de serviços ambientais e atinentes às mudanças climáticas.</w:t>
            </w:r>
          </w:p>
          <w:p w14:paraId="36776793" w14:textId="77777777" w:rsidR="006728C8" w:rsidRDefault="00045113" w:rsidP="000F18E2">
            <w:pPr>
              <w:pStyle w:val="ListParagraph3"/>
              <w:numPr>
                <w:ilvl w:val="0"/>
                <w:numId w:val="10"/>
              </w:numPr>
              <w:spacing w:before="0" w:line="240" w:lineRule="auto"/>
              <w:ind w:left="246" w:hanging="246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Cria-se também o fundo ambiental.</w:t>
            </w:r>
          </w:p>
        </w:tc>
        <w:tc>
          <w:tcPr>
            <w:tcW w:w="4945" w:type="dxa"/>
          </w:tcPr>
          <w:p w14:paraId="36776794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A3" w14:textId="77777777">
        <w:trPr>
          <w:trHeight w:val="20"/>
          <w:jc w:val="center"/>
        </w:trPr>
        <w:tc>
          <w:tcPr>
            <w:tcW w:w="2965" w:type="dxa"/>
            <w:vMerge/>
          </w:tcPr>
          <w:p w14:paraId="36776796" w14:textId="77777777" w:rsidR="006728C8" w:rsidRDefault="006728C8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97" w14:textId="5A1646C5" w:rsidR="006728C8" w:rsidRPr="00F8734B" w:rsidRDefault="00045113">
            <w:pPr>
              <w:pStyle w:val="ListParagraph3"/>
              <w:spacing w:before="0" w:line="240" w:lineRule="auto"/>
              <w:ind w:left="-24"/>
              <w:jc w:val="both"/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</w:pPr>
            <w:r w:rsidRPr="00F8734B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Na Pol</w:t>
            </w:r>
            <w:r w:rsidR="00F8734B" w:rsidRPr="00F8734B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í</w:t>
            </w:r>
            <w:r w:rsidRPr="00F8734B">
              <w:rPr>
                <w:rFonts w:cs="Calibri"/>
                <w:b/>
                <w:bCs/>
                <w:sz w:val="20"/>
                <w:szCs w:val="20"/>
                <w:u w:val="single"/>
                <w:lang w:val="en-GB"/>
              </w:rPr>
              <w:t>tica:</w:t>
            </w:r>
          </w:p>
          <w:p w14:paraId="36776798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sobre concessões para a exploração de recursos naturais (como florestas, recursos naturais e pescas);</w:t>
            </w:r>
          </w:p>
          <w:p w14:paraId="36776799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Taxas de licenciamento ambiental;</w:t>
            </w:r>
          </w:p>
          <w:p w14:paraId="3677679A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Taxas provenientes do registo de consultores qualificados para realizar Estudos de Impacto Ambiental e para a elaboração de </w:t>
            </w: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instrumentos de ordenamento do território por parte de entidades privadas;</w:t>
            </w:r>
          </w:p>
          <w:p w14:paraId="3677679B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Multas provenientes de sanções e penalizações decorrentes de infracções;</w:t>
            </w:r>
          </w:p>
          <w:p w14:paraId="3677679C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Mercados de carbono e créditos voluntários: emissão e venda de créditos por reflorestamento, conservação e energias limpas.</w:t>
            </w:r>
          </w:p>
          <w:p w14:paraId="3677679D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Obrigações Sustentáveis (Green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and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Blue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 xml:space="preserve"> Bonds): emissão de títulos no mercado financeiro destinados a financiar projectos ambientais.</w:t>
            </w:r>
          </w:p>
          <w:p w14:paraId="3677679E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Parcerias Público-Privadas (PPP): em diferentes sectores, como saneamento, gestão de resíduos sólidos, energia renovável e infraestruturas resilientes.</w:t>
            </w:r>
          </w:p>
          <w:p w14:paraId="3677679F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Incentivos fiscais verdes: redução de impostos ou isenções para empresas que investem em tecnologias limpas, economia circular e cadeias de valor sustentáveis.</w:t>
            </w:r>
          </w:p>
          <w:p w14:paraId="367767A0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Fundos rotativos e microcrédito verde: linhas de crédito para apoiar iniciativas locais e comunitárias em agricultura sustentável, gestão florestal e </w:t>
            </w:r>
            <w:proofErr w:type="spellStart"/>
            <w:r>
              <w:rPr>
                <w:rFonts w:cs="Calibri"/>
                <w:sz w:val="20"/>
                <w:szCs w:val="20"/>
                <w:lang w:val="pt-PT"/>
              </w:rPr>
              <w:t>eco-turismo</w:t>
            </w:r>
            <w:proofErr w:type="spellEnd"/>
            <w:r>
              <w:rPr>
                <w:rFonts w:cs="Calibri"/>
                <w:sz w:val="20"/>
                <w:szCs w:val="20"/>
                <w:lang w:val="pt-PT"/>
              </w:rPr>
              <w:t>.</w:t>
            </w:r>
          </w:p>
          <w:p w14:paraId="367767A1" w14:textId="77777777" w:rsidR="006728C8" w:rsidRDefault="00045113">
            <w:pPr>
              <w:pStyle w:val="ListParagraph3"/>
              <w:numPr>
                <w:ilvl w:val="0"/>
                <w:numId w:val="12"/>
              </w:numPr>
              <w:spacing w:before="0" w:line="240" w:lineRule="auto"/>
              <w:ind w:left="156" w:hanging="18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Pagamentos por Serviços Ambientais (PSA): compensações pagas por utilizadores de água, energia ou turismo que dependem de ecossistemas conservados, e canalizadas as comunidades que praticam a conservação das florestas e outros ecossistemas, incluindo outros serviços ambientais directos e indirectos.</w:t>
            </w:r>
          </w:p>
        </w:tc>
        <w:tc>
          <w:tcPr>
            <w:tcW w:w="4945" w:type="dxa"/>
          </w:tcPr>
          <w:p w14:paraId="367767A2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F8734B" w14:paraId="367767A5" w14:textId="77777777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367767A4" w14:textId="77777777" w:rsidR="006728C8" w:rsidRPr="00F8734B" w:rsidRDefault="00045113">
            <w:pPr>
              <w:jc w:val="center"/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</w:pPr>
            <w:r w:rsidRPr="00F8734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>E.</w:t>
            </w:r>
            <w:r w:rsidRPr="00F8734B">
              <w:rPr>
                <w:rFonts w:cs="Calibri"/>
                <w:b/>
                <w:bCs/>
                <w:kern w:val="0"/>
                <w:sz w:val="24"/>
                <w:lang w:val="pt-PT"/>
                <w14:ligatures w14:val="none"/>
              </w:rPr>
              <w:tab/>
              <w:t>Que outros aspectos considera desafios na gestão do ambiente em Moçambique e quais as propostas de solução?</w:t>
            </w:r>
          </w:p>
        </w:tc>
      </w:tr>
      <w:tr w:rsidR="006728C8" w:rsidRPr="0060767C" w14:paraId="367767A9" w14:textId="77777777">
        <w:trPr>
          <w:trHeight w:val="20"/>
          <w:jc w:val="center"/>
        </w:trPr>
        <w:tc>
          <w:tcPr>
            <w:tcW w:w="2965" w:type="dxa"/>
          </w:tcPr>
          <w:p w14:paraId="367767A6" w14:textId="77777777" w:rsidR="006728C8" w:rsidRDefault="006728C8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A7" w14:textId="77777777" w:rsidR="006728C8" w:rsidRDefault="006728C8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67767A8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AD" w14:textId="77777777">
        <w:trPr>
          <w:trHeight w:val="20"/>
          <w:jc w:val="center"/>
        </w:trPr>
        <w:tc>
          <w:tcPr>
            <w:tcW w:w="2965" w:type="dxa"/>
          </w:tcPr>
          <w:p w14:paraId="367767AA" w14:textId="77777777" w:rsidR="006728C8" w:rsidRDefault="006728C8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AB" w14:textId="77777777" w:rsidR="006728C8" w:rsidRDefault="006728C8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67767AC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  <w:tr w:rsidR="006728C8" w:rsidRPr="0060767C" w14:paraId="367767B1" w14:textId="77777777">
        <w:trPr>
          <w:trHeight w:val="20"/>
          <w:jc w:val="center"/>
        </w:trPr>
        <w:tc>
          <w:tcPr>
            <w:tcW w:w="2965" w:type="dxa"/>
          </w:tcPr>
          <w:p w14:paraId="367767AE" w14:textId="77777777" w:rsidR="006728C8" w:rsidRDefault="006728C8">
            <w:pPr>
              <w:pStyle w:val="ListParagraph3"/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67767AF" w14:textId="77777777" w:rsidR="006728C8" w:rsidRDefault="006728C8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67767B0" w14:textId="77777777" w:rsidR="006728C8" w:rsidRDefault="006728C8">
            <w:pPr>
              <w:rPr>
                <w:rFonts w:cs="Calibri"/>
                <w:kern w:val="0"/>
                <w:szCs w:val="20"/>
                <w:lang w:val="pt-PT"/>
                <w14:ligatures w14:val="none"/>
              </w:rPr>
            </w:pPr>
          </w:p>
        </w:tc>
      </w:tr>
    </w:tbl>
    <w:p w14:paraId="367767B2" w14:textId="77777777" w:rsidR="006728C8" w:rsidRDefault="006728C8">
      <w:pPr>
        <w:ind w:left="0"/>
        <w:rPr>
          <w:lang w:val="pt-PT"/>
        </w:rPr>
      </w:pPr>
    </w:p>
    <w:sectPr w:rsidR="006728C8">
      <w:footerReference w:type="default" r:id="rId9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6263" w14:textId="77777777" w:rsidR="002648B7" w:rsidRDefault="002648B7">
      <w:pPr>
        <w:spacing w:line="240" w:lineRule="auto"/>
      </w:pPr>
      <w:r>
        <w:separator/>
      </w:r>
    </w:p>
  </w:endnote>
  <w:endnote w:type="continuationSeparator" w:id="0">
    <w:p w14:paraId="6746ADBF" w14:textId="77777777" w:rsidR="002648B7" w:rsidRDefault="00264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9458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C20240" w14:textId="360D3863" w:rsidR="004371CF" w:rsidRPr="00920CFA" w:rsidRDefault="004371CF">
            <w:pPr>
              <w:pStyle w:val="Footer"/>
              <w:jc w:val="right"/>
            </w:pPr>
            <w:proofErr w:type="spellStart"/>
            <w:r w:rsidRPr="00920CFA">
              <w:t>P</w:t>
            </w:r>
            <w:r w:rsidR="00920CFA" w:rsidRPr="00920CFA">
              <w:t>ág</w:t>
            </w:r>
            <w:proofErr w:type="spellEnd"/>
            <w:r w:rsidR="00920CFA" w:rsidRPr="00920CFA">
              <w:t>.</w:t>
            </w:r>
            <w:r w:rsidRPr="00920CFA">
              <w:t xml:space="preserve"> </w:t>
            </w:r>
            <w:r w:rsidRPr="00920CFA">
              <w:rPr>
                <w:sz w:val="24"/>
              </w:rPr>
              <w:fldChar w:fldCharType="begin"/>
            </w:r>
            <w:r w:rsidRPr="00920CFA">
              <w:instrText xml:space="preserve"> PAGE </w:instrText>
            </w:r>
            <w:r w:rsidRPr="00920CFA">
              <w:rPr>
                <w:sz w:val="24"/>
              </w:rPr>
              <w:fldChar w:fldCharType="separate"/>
            </w:r>
            <w:r w:rsidRPr="00920CFA">
              <w:rPr>
                <w:noProof/>
              </w:rPr>
              <w:t>2</w:t>
            </w:r>
            <w:r w:rsidRPr="00920CFA">
              <w:rPr>
                <w:sz w:val="24"/>
              </w:rPr>
              <w:fldChar w:fldCharType="end"/>
            </w:r>
            <w:r w:rsidRPr="00920CFA">
              <w:t xml:space="preserve"> </w:t>
            </w:r>
            <w:r w:rsidR="00920CFA" w:rsidRPr="00920CFA">
              <w:t>/</w:t>
            </w:r>
            <w:r w:rsidRPr="00920CFA">
              <w:t xml:space="preserve"> </w:t>
            </w:r>
            <w:fldSimple w:instr=" NUMPAGES  ">
              <w:r w:rsidRPr="00920CFA">
                <w:rPr>
                  <w:noProof/>
                </w:rPr>
                <w:t>2</w:t>
              </w:r>
            </w:fldSimple>
          </w:p>
        </w:sdtContent>
      </w:sdt>
    </w:sdtContent>
  </w:sdt>
  <w:p w14:paraId="17A7DE21" w14:textId="77777777" w:rsidR="004371CF" w:rsidRDefault="00437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8B09" w14:textId="77777777" w:rsidR="002648B7" w:rsidRDefault="002648B7">
      <w:pPr>
        <w:spacing w:before="0" w:after="0" w:line="240" w:lineRule="auto"/>
      </w:pPr>
      <w:r>
        <w:separator/>
      </w:r>
    </w:p>
  </w:footnote>
  <w:footnote w:type="continuationSeparator" w:id="0">
    <w:p w14:paraId="2A057D38" w14:textId="77777777" w:rsidR="002648B7" w:rsidRDefault="002648B7">
      <w:pPr>
        <w:spacing w:before="0" w:after="0" w:line="240" w:lineRule="auto"/>
      </w:pPr>
      <w:r>
        <w:continuationSeparator/>
      </w:r>
    </w:p>
  </w:footnote>
  <w:footnote w:id="1">
    <w:p w14:paraId="367767B9" w14:textId="77777777" w:rsidR="006728C8" w:rsidRDefault="0004511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367767BA" w14:textId="77777777" w:rsidR="006728C8" w:rsidRDefault="0004511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FBD2C9"/>
    <w:multiLevelType w:val="singleLevel"/>
    <w:tmpl w:val="B9FBD2C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3CA0BE8"/>
    <w:multiLevelType w:val="singleLevel"/>
    <w:tmpl w:val="F3CA0BE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D662B"/>
    <w:multiLevelType w:val="multilevel"/>
    <w:tmpl w:val="1C9D66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84966"/>
    <w:multiLevelType w:val="multilevel"/>
    <w:tmpl w:val="22F84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572BC"/>
    <w:multiLevelType w:val="singleLevel"/>
    <w:tmpl w:val="357572BC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3AA21E47"/>
    <w:multiLevelType w:val="multilevel"/>
    <w:tmpl w:val="3AA21E4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44BD5"/>
    <w:multiLevelType w:val="multilevel"/>
    <w:tmpl w:val="42A44BD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217EF7"/>
    <w:multiLevelType w:val="multilevel"/>
    <w:tmpl w:val="5A217EF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EC5F15"/>
    <w:multiLevelType w:val="multilevel"/>
    <w:tmpl w:val="5AEC5F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CA44"/>
    <w:multiLevelType w:val="singleLevel"/>
    <w:tmpl w:val="6279CA4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A056D73"/>
    <w:multiLevelType w:val="multilevel"/>
    <w:tmpl w:val="7A056D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6699"/>
        <w:sz w:val="16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6136">
    <w:abstractNumId w:val="2"/>
  </w:num>
  <w:num w:numId="2" w16cid:durableId="283732216">
    <w:abstractNumId w:val="7"/>
  </w:num>
  <w:num w:numId="3" w16cid:durableId="1569724948">
    <w:abstractNumId w:val="5"/>
  </w:num>
  <w:num w:numId="4" w16cid:durableId="1102603843">
    <w:abstractNumId w:val="0"/>
  </w:num>
  <w:num w:numId="5" w16cid:durableId="1531380352">
    <w:abstractNumId w:val="4"/>
  </w:num>
  <w:num w:numId="6" w16cid:durableId="676156305">
    <w:abstractNumId w:val="10"/>
  </w:num>
  <w:num w:numId="7" w16cid:durableId="1520776144">
    <w:abstractNumId w:val="3"/>
  </w:num>
  <w:num w:numId="8" w16cid:durableId="909191519">
    <w:abstractNumId w:val="1"/>
  </w:num>
  <w:num w:numId="9" w16cid:durableId="1775007993">
    <w:abstractNumId w:val="8"/>
  </w:num>
  <w:num w:numId="10" w16cid:durableId="117459214">
    <w:abstractNumId w:val="9"/>
  </w:num>
  <w:num w:numId="11" w16cid:durableId="1294558865">
    <w:abstractNumId w:val="11"/>
  </w:num>
  <w:num w:numId="12" w16cid:durableId="16926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66"/>
    <w:rsid w:val="00012A7E"/>
    <w:rsid w:val="0001571C"/>
    <w:rsid w:val="00021745"/>
    <w:rsid w:val="00025BE2"/>
    <w:rsid w:val="00041C62"/>
    <w:rsid w:val="00043853"/>
    <w:rsid w:val="00045113"/>
    <w:rsid w:val="0005193E"/>
    <w:rsid w:val="00052CC5"/>
    <w:rsid w:val="000568FC"/>
    <w:rsid w:val="00061303"/>
    <w:rsid w:val="000621D5"/>
    <w:rsid w:val="0007055B"/>
    <w:rsid w:val="000778E5"/>
    <w:rsid w:val="00085F20"/>
    <w:rsid w:val="0009215D"/>
    <w:rsid w:val="00096474"/>
    <w:rsid w:val="000A06C5"/>
    <w:rsid w:val="000C4AC5"/>
    <w:rsid w:val="000D0DDB"/>
    <w:rsid w:val="000D1C11"/>
    <w:rsid w:val="000D33E0"/>
    <w:rsid w:val="000D3606"/>
    <w:rsid w:val="000D6A8F"/>
    <w:rsid w:val="000D72CD"/>
    <w:rsid w:val="000E3764"/>
    <w:rsid w:val="000E5AB9"/>
    <w:rsid w:val="000F18E2"/>
    <w:rsid w:val="000F4F89"/>
    <w:rsid w:val="0011510D"/>
    <w:rsid w:val="0011706F"/>
    <w:rsid w:val="00125107"/>
    <w:rsid w:val="00137B43"/>
    <w:rsid w:val="0014612C"/>
    <w:rsid w:val="00150856"/>
    <w:rsid w:val="00163EC4"/>
    <w:rsid w:val="00173F90"/>
    <w:rsid w:val="00175F56"/>
    <w:rsid w:val="0019199F"/>
    <w:rsid w:val="00194776"/>
    <w:rsid w:val="00194D9A"/>
    <w:rsid w:val="001A1B04"/>
    <w:rsid w:val="001B22C3"/>
    <w:rsid w:val="001B2628"/>
    <w:rsid w:val="001B514E"/>
    <w:rsid w:val="001B7113"/>
    <w:rsid w:val="001D014A"/>
    <w:rsid w:val="001D0377"/>
    <w:rsid w:val="001D27A7"/>
    <w:rsid w:val="001E7B41"/>
    <w:rsid w:val="002020CE"/>
    <w:rsid w:val="0021028F"/>
    <w:rsid w:val="0021233A"/>
    <w:rsid w:val="002151D6"/>
    <w:rsid w:val="002246C1"/>
    <w:rsid w:val="002269C7"/>
    <w:rsid w:val="00240C6D"/>
    <w:rsid w:val="00241120"/>
    <w:rsid w:val="00243081"/>
    <w:rsid w:val="00246381"/>
    <w:rsid w:val="00247F2C"/>
    <w:rsid w:val="002529FE"/>
    <w:rsid w:val="00253DF8"/>
    <w:rsid w:val="0025457D"/>
    <w:rsid w:val="002636C3"/>
    <w:rsid w:val="002648B7"/>
    <w:rsid w:val="00264D19"/>
    <w:rsid w:val="00266622"/>
    <w:rsid w:val="00266830"/>
    <w:rsid w:val="002775E7"/>
    <w:rsid w:val="00297179"/>
    <w:rsid w:val="002A42CA"/>
    <w:rsid w:val="002B220E"/>
    <w:rsid w:val="002C2E31"/>
    <w:rsid w:val="002C30C4"/>
    <w:rsid w:val="002C569B"/>
    <w:rsid w:val="002D0A5D"/>
    <w:rsid w:val="002D2E91"/>
    <w:rsid w:val="002D423F"/>
    <w:rsid w:val="002D6BFF"/>
    <w:rsid w:val="002D7910"/>
    <w:rsid w:val="002E620B"/>
    <w:rsid w:val="00303879"/>
    <w:rsid w:val="0031184B"/>
    <w:rsid w:val="003128FF"/>
    <w:rsid w:val="00315C68"/>
    <w:rsid w:val="00323715"/>
    <w:rsid w:val="00334428"/>
    <w:rsid w:val="00334D1B"/>
    <w:rsid w:val="00335E35"/>
    <w:rsid w:val="00340204"/>
    <w:rsid w:val="00344557"/>
    <w:rsid w:val="00355CEC"/>
    <w:rsid w:val="00360C44"/>
    <w:rsid w:val="0037256F"/>
    <w:rsid w:val="00376120"/>
    <w:rsid w:val="00381D55"/>
    <w:rsid w:val="003821C0"/>
    <w:rsid w:val="00387666"/>
    <w:rsid w:val="00392B62"/>
    <w:rsid w:val="003A569C"/>
    <w:rsid w:val="003B42FD"/>
    <w:rsid w:val="003C36A3"/>
    <w:rsid w:val="003D1EB9"/>
    <w:rsid w:val="003E14A0"/>
    <w:rsid w:val="003E553F"/>
    <w:rsid w:val="003F2EB6"/>
    <w:rsid w:val="0040095D"/>
    <w:rsid w:val="00404954"/>
    <w:rsid w:val="0041036E"/>
    <w:rsid w:val="0042624C"/>
    <w:rsid w:val="004371CF"/>
    <w:rsid w:val="00440C30"/>
    <w:rsid w:val="004413EE"/>
    <w:rsid w:val="0044253B"/>
    <w:rsid w:val="004435AA"/>
    <w:rsid w:val="004478FA"/>
    <w:rsid w:val="004541A0"/>
    <w:rsid w:val="00455B13"/>
    <w:rsid w:val="00474A54"/>
    <w:rsid w:val="0048222D"/>
    <w:rsid w:val="004939CC"/>
    <w:rsid w:val="004A2154"/>
    <w:rsid w:val="004A33AC"/>
    <w:rsid w:val="004B0F3B"/>
    <w:rsid w:val="004B35F5"/>
    <w:rsid w:val="004B3901"/>
    <w:rsid w:val="004B77D4"/>
    <w:rsid w:val="004D18E1"/>
    <w:rsid w:val="004D6FC2"/>
    <w:rsid w:val="004E12C9"/>
    <w:rsid w:val="004E2AA5"/>
    <w:rsid w:val="004F1DAA"/>
    <w:rsid w:val="0050155E"/>
    <w:rsid w:val="00506ED0"/>
    <w:rsid w:val="005077E2"/>
    <w:rsid w:val="00524697"/>
    <w:rsid w:val="00525A9B"/>
    <w:rsid w:val="005352C5"/>
    <w:rsid w:val="00535BC1"/>
    <w:rsid w:val="0054496B"/>
    <w:rsid w:val="00550BCB"/>
    <w:rsid w:val="00576E3A"/>
    <w:rsid w:val="00581831"/>
    <w:rsid w:val="005949DA"/>
    <w:rsid w:val="005A47F4"/>
    <w:rsid w:val="005C159B"/>
    <w:rsid w:val="005C6E8D"/>
    <w:rsid w:val="005E694F"/>
    <w:rsid w:val="005F09E5"/>
    <w:rsid w:val="005F3CCA"/>
    <w:rsid w:val="00604B19"/>
    <w:rsid w:val="0060767C"/>
    <w:rsid w:val="00611D31"/>
    <w:rsid w:val="00624C2F"/>
    <w:rsid w:val="00631FB0"/>
    <w:rsid w:val="00635066"/>
    <w:rsid w:val="0063622B"/>
    <w:rsid w:val="00636889"/>
    <w:rsid w:val="00640BF8"/>
    <w:rsid w:val="00640C4F"/>
    <w:rsid w:val="0064211F"/>
    <w:rsid w:val="006427A7"/>
    <w:rsid w:val="00645CE0"/>
    <w:rsid w:val="00656419"/>
    <w:rsid w:val="00661135"/>
    <w:rsid w:val="006656BF"/>
    <w:rsid w:val="006720B9"/>
    <w:rsid w:val="006728C8"/>
    <w:rsid w:val="0067563B"/>
    <w:rsid w:val="00684571"/>
    <w:rsid w:val="00684F0C"/>
    <w:rsid w:val="00690969"/>
    <w:rsid w:val="006917BF"/>
    <w:rsid w:val="00693677"/>
    <w:rsid w:val="006A2A3A"/>
    <w:rsid w:val="006A38C9"/>
    <w:rsid w:val="006A50D5"/>
    <w:rsid w:val="006A5708"/>
    <w:rsid w:val="006A7CB9"/>
    <w:rsid w:val="006B2E0D"/>
    <w:rsid w:val="006B5B52"/>
    <w:rsid w:val="006B79EC"/>
    <w:rsid w:val="006C0531"/>
    <w:rsid w:val="006C3A4B"/>
    <w:rsid w:val="006C58F6"/>
    <w:rsid w:val="006D2A48"/>
    <w:rsid w:val="006D767C"/>
    <w:rsid w:val="006F3AE1"/>
    <w:rsid w:val="006F4599"/>
    <w:rsid w:val="006F5519"/>
    <w:rsid w:val="006F7174"/>
    <w:rsid w:val="00706555"/>
    <w:rsid w:val="00726385"/>
    <w:rsid w:val="00732E55"/>
    <w:rsid w:val="00741D2B"/>
    <w:rsid w:val="00753FC0"/>
    <w:rsid w:val="00755DEC"/>
    <w:rsid w:val="00761A87"/>
    <w:rsid w:val="00762C3D"/>
    <w:rsid w:val="007670D8"/>
    <w:rsid w:val="0076710D"/>
    <w:rsid w:val="00771E96"/>
    <w:rsid w:val="00775839"/>
    <w:rsid w:val="00777EC1"/>
    <w:rsid w:val="007850AC"/>
    <w:rsid w:val="00796102"/>
    <w:rsid w:val="007B01C3"/>
    <w:rsid w:val="007B0E4A"/>
    <w:rsid w:val="007C10E2"/>
    <w:rsid w:val="007C18FA"/>
    <w:rsid w:val="007C2DD6"/>
    <w:rsid w:val="007D2FFB"/>
    <w:rsid w:val="008064F9"/>
    <w:rsid w:val="0081530A"/>
    <w:rsid w:val="00815894"/>
    <w:rsid w:val="008166A4"/>
    <w:rsid w:val="00817356"/>
    <w:rsid w:val="00827614"/>
    <w:rsid w:val="008326A7"/>
    <w:rsid w:val="0083459E"/>
    <w:rsid w:val="00842A37"/>
    <w:rsid w:val="00847F66"/>
    <w:rsid w:val="008511BB"/>
    <w:rsid w:val="008776D9"/>
    <w:rsid w:val="0088007C"/>
    <w:rsid w:val="00881E90"/>
    <w:rsid w:val="0088446A"/>
    <w:rsid w:val="008A10F3"/>
    <w:rsid w:val="008A339B"/>
    <w:rsid w:val="008A4438"/>
    <w:rsid w:val="008B0435"/>
    <w:rsid w:val="008B0E1C"/>
    <w:rsid w:val="008B329F"/>
    <w:rsid w:val="008C2755"/>
    <w:rsid w:val="008C6B03"/>
    <w:rsid w:val="008F470E"/>
    <w:rsid w:val="009130D3"/>
    <w:rsid w:val="009137EB"/>
    <w:rsid w:val="00913B75"/>
    <w:rsid w:val="009144DA"/>
    <w:rsid w:val="00920CFA"/>
    <w:rsid w:val="0092393B"/>
    <w:rsid w:val="00930FC4"/>
    <w:rsid w:val="009450CA"/>
    <w:rsid w:val="00961965"/>
    <w:rsid w:val="00965C30"/>
    <w:rsid w:val="009704D8"/>
    <w:rsid w:val="00971374"/>
    <w:rsid w:val="00973C42"/>
    <w:rsid w:val="0099416D"/>
    <w:rsid w:val="009A381C"/>
    <w:rsid w:val="009B0571"/>
    <w:rsid w:val="009B1EEC"/>
    <w:rsid w:val="009C080D"/>
    <w:rsid w:val="009C4E3E"/>
    <w:rsid w:val="009D1CFB"/>
    <w:rsid w:val="009D6A26"/>
    <w:rsid w:val="009E6019"/>
    <w:rsid w:val="009F02E4"/>
    <w:rsid w:val="009F0799"/>
    <w:rsid w:val="009F7F22"/>
    <w:rsid w:val="00A15D3F"/>
    <w:rsid w:val="00A21DB7"/>
    <w:rsid w:val="00A23EE4"/>
    <w:rsid w:val="00A24113"/>
    <w:rsid w:val="00A26F2C"/>
    <w:rsid w:val="00A306CE"/>
    <w:rsid w:val="00A34C30"/>
    <w:rsid w:val="00A37B60"/>
    <w:rsid w:val="00A47C52"/>
    <w:rsid w:val="00A51A80"/>
    <w:rsid w:val="00A53265"/>
    <w:rsid w:val="00A543D3"/>
    <w:rsid w:val="00A725F6"/>
    <w:rsid w:val="00A75F4C"/>
    <w:rsid w:val="00A8651B"/>
    <w:rsid w:val="00A94933"/>
    <w:rsid w:val="00AA7BAE"/>
    <w:rsid w:val="00AB0403"/>
    <w:rsid w:val="00AD096E"/>
    <w:rsid w:val="00AD3DB1"/>
    <w:rsid w:val="00AE07B6"/>
    <w:rsid w:val="00AE652F"/>
    <w:rsid w:val="00B03955"/>
    <w:rsid w:val="00B063E1"/>
    <w:rsid w:val="00B077E4"/>
    <w:rsid w:val="00B10134"/>
    <w:rsid w:val="00B174DB"/>
    <w:rsid w:val="00B23324"/>
    <w:rsid w:val="00B23D64"/>
    <w:rsid w:val="00B246D9"/>
    <w:rsid w:val="00B3321B"/>
    <w:rsid w:val="00B41240"/>
    <w:rsid w:val="00B41918"/>
    <w:rsid w:val="00B57390"/>
    <w:rsid w:val="00B61D7A"/>
    <w:rsid w:val="00B63CEA"/>
    <w:rsid w:val="00B74898"/>
    <w:rsid w:val="00B80A47"/>
    <w:rsid w:val="00B85496"/>
    <w:rsid w:val="00B90C17"/>
    <w:rsid w:val="00B92754"/>
    <w:rsid w:val="00BA1646"/>
    <w:rsid w:val="00BA4BE8"/>
    <w:rsid w:val="00BA75BA"/>
    <w:rsid w:val="00BB54B8"/>
    <w:rsid w:val="00BC08C7"/>
    <w:rsid w:val="00BC165E"/>
    <w:rsid w:val="00BC48C5"/>
    <w:rsid w:val="00C11EA2"/>
    <w:rsid w:val="00C130D3"/>
    <w:rsid w:val="00C16F9E"/>
    <w:rsid w:val="00C249EC"/>
    <w:rsid w:val="00C3225C"/>
    <w:rsid w:val="00C34C17"/>
    <w:rsid w:val="00C4093D"/>
    <w:rsid w:val="00C4711E"/>
    <w:rsid w:val="00C47594"/>
    <w:rsid w:val="00C52922"/>
    <w:rsid w:val="00C54689"/>
    <w:rsid w:val="00C56F59"/>
    <w:rsid w:val="00C600E1"/>
    <w:rsid w:val="00C73476"/>
    <w:rsid w:val="00C75F84"/>
    <w:rsid w:val="00C77A89"/>
    <w:rsid w:val="00C83531"/>
    <w:rsid w:val="00C856D1"/>
    <w:rsid w:val="00C8698B"/>
    <w:rsid w:val="00CA2C67"/>
    <w:rsid w:val="00CA4B9B"/>
    <w:rsid w:val="00CB50B9"/>
    <w:rsid w:val="00CC2D28"/>
    <w:rsid w:val="00CC633E"/>
    <w:rsid w:val="00CD258A"/>
    <w:rsid w:val="00CD4153"/>
    <w:rsid w:val="00CD7365"/>
    <w:rsid w:val="00CF1625"/>
    <w:rsid w:val="00D04FE7"/>
    <w:rsid w:val="00D11899"/>
    <w:rsid w:val="00D15ECE"/>
    <w:rsid w:val="00D357DA"/>
    <w:rsid w:val="00D40E73"/>
    <w:rsid w:val="00D42073"/>
    <w:rsid w:val="00D4219A"/>
    <w:rsid w:val="00D431AA"/>
    <w:rsid w:val="00D46641"/>
    <w:rsid w:val="00D532C3"/>
    <w:rsid w:val="00D6128D"/>
    <w:rsid w:val="00D6415C"/>
    <w:rsid w:val="00D7125A"/>
    <w:rsid w:val="00DA503B"/>
    <w:rsid w:val="00DB2C16"/>
    <w:rsid w:val="00DB5806"/>
    <w:rsid w:val="00DC3888"/>
    <w:rsid w:val="00DD2B4C"/>
    <w:rsid w:val="00DD480A"/>
    <w:rsid w:val="00DD4E4B"/>
    <w:rsid w:val="00DD70A6"/>
    <w:rsid w:val="00DE129D"/>
    <w:rsid w:val="00DF30FD"/>
    <w:rsid w:val="00DF516C"/>
    <w:rsid w:val="00E15D6F"/>
    <w:rsid w:val="00E16BAA"/>
    <w:rsid w:val="00E23DCB"/>
    <w:rsid w:val="00E24A98"/>
    <w:rsid w:val="00E30486"/>
    <w:rsid w:val="00E3260A"/>
    <w:rsid w:val="00E36366"/>
    <w:rsid w:val="00E37971"/>
    <w:rsid w:val="00E43A2E"/>
    <w:rsid w:val="00E46BB4"/>
    <w:rsid w:val="00E677DC"/>
    <w:rsid w:val="00E70A7A"/>
    <w:rsid w:val="00E717CF"/>
    <w:rsid w:val="00E74028"/>
    <w:rsid w:val="00E8128D"/>
    <w:rsid w:val="00E85535"/>
    <w:rsid w:val="00E85878"/>
    <w:rsid w:val="00EA2BCA"/>
    <w:rsid w:val="00EA4837"/>
    <w:rsid w:val="00EB2844"/>
    <w:rsid w:val="00EB2973"/>
    <w:rsid w:val="00EB6883"/>
    <w:rsid w:val="00ED1A98"/>
    <w:rsid w:val="00ED435B"/>
    <w:rsid w:val="00EE1856"/>
    <w:rsid w:val="00EF371A"/>
    <w:rsid w:val="00EF4100"/>
    <w:rsid w:val="00F02BC2"/>
    <w:rsid w:val="00F14788"/>
    <w:rsid w:val="00F1500F"/>
    <w:rsid w:val="00F154AE"/>
    <w:rsid w:val="00F15829"/>
    <w:rsid w:val="00F17693"/>
    <w:rsid w:val="00F20532"/>
    <w:rsid w:val="00F507D2"/>
    <w:rsid w:val="00F52198"/>
    <w:rsid w:val="00F54F9F"/>
    <w:rsid w:val="00F708B9"/>
    <w:rsid w:val="00F711E2"/>
    <w:rsid w:val="00F86995"/>
    <w:rsid w:val="00F8734B"/>
    <w:rsid w:val="00F9304E"/>
    <w:rsid w:val="00F952B8"/>
    <w:rsid w:val="00FA7089"/>
    <w:rsid w:val="00FB2E72"/>
    <w:rsid w:val="00FC3EFB"/>
    <w:rsid w:val="00FC4536"/>
    <w:rsid w:val="00FD1071"/>
    <w:rsid w:val="00FD3537"/>
    <w:rsid w:val="00FE1A76"/>
    <w:rsid w:val="00FE31BD"/>
    <w:rsid w:val="00FE6967"/>
    <w:rsid w:val="00FF398B"/>
    <w:rsid w:val="00FF402F"/>
    <w:rsid w:val="00FF4765"/>
    <w:rsid w:val="00FF4D79"/>
    <w:rsid w:val="00FF5DEA"/>
    <w:rsid w:val="35F768BC"/>
    <w:rsid w:val="38D351EB"/>
    <w:rsid w:val="504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7665F"/>
  <w15:docId w15:val="{F9E283C5-0F7A-4C76-8AC0-3A942673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80" w:lineRule="atLeast"/>
      <w:ind w:left="432"/>
      <w:jc w:val="both"/>
    </w:pPr>
    <w:rPr>
      <w:rFonts w:ascii="Calibri" w:hAnsi="Calibri"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pPr>
      <w:spacing w:line="270" w:lineRule="atLeast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ListParagraph3">
    <w:name w:val="List Paragraph3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71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1CF"/>
    <w:rPr>
      <w:rFonts w:ascii="Calibri" w:hAnsi="Calibr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42B5-984C-4A90-82DF-575E013E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2554</Words>
  <Characters>13792</Characters>
  <Application>Microsoft Office Word</Application>
  <DocSecurity>0</DocSecurity>
  <Lines>114</Lines>
  <Paragraphs>32</Paragraphs>
  <ScaleCrop>false</ScaleCrop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Junior</dc:creator>
  <cp:lastModifiedBy>VILELA DE SOUSA</cp:lastModifiedBy>
  <cp:revision>2</cp:revision>
  <cp:lastPrinted>2025-09-20T11:27:00Z</cp:lastPrinted>
  <dcterms:created xsi:type="dcterms:W3CDTF">2025-10-24T10:21:00Z</dcterms:created>
  <dcterms:modified xsi:type="dcterms:W3CDTF">2025-10-24T10:21:00Z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96A20346890349F99DF5046FA023A02D_13</vt:lpwstr>
  </property>
</Properties>
</file>