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909A" w14:textId="77777777" w:rsidR="004A7443" w:rsidRPr="005F6B08" w:rsidRDefault="004A7443" w:rsidP="004A7443">
      <w:pPr>
        <w:spacing w:before="0" w:after="0" w:line="240" w:lineRule="auto"/>
        <w:jc w:val="center"/>
        <w:rPr>
          <w:rFonts w:cs="Calibri"/>
          <w:sz w:val="22"/>
          <w:szCs w:val="22"/>
        </w:rPr>
      </w:pPr>
      <w:r w:rsidRPr="005F6B08">
        <w:rPr>
          <w:rFonts w:eastAsia="SimSun" w:cs="Calibri"/>
          <w:noProof/>
          <w:sz w:val="22"/>
          <w:szCs w:val="22"/>
          <w:lang w:val="pt-PT" w:eastAsia="pt-PT"/>
        </w:rPr>
        <w:drawing>
          <wp:inline distT="0" distB="0" distL="114300" distR="114300" wp14:anchorId="6410D18E" wp14:editId="7444317D">
            <wp:extent cx="1059815" cy="1022985"/>
            <wp:effectExtent l="0" t="0" r="6985" b="18415"/>
            <wp:docPr id="2" name="Picture 1" descr="REPUBLICA DE 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EPUBLICA DE M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AD59F5" w14:textId="77777777" w:rsidR="004A7443" w:rsidRPr="005F6B08" w:rsidRDefault="004A7443" w:rsidP="004A7443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5F6B08">
        <w:rPr>
          <w:rFonts w:cs="Calibri"/>
          <w:b/>
          <w:bCs/>
          <w:sz w:val="22"/>
          <w:szCs w:val="22"/>
          <w:lang w:val="pt-PT"/>
        </w:rPr>
        <w:t>REPÚBLICA DE MOÇAMBIQUE</w:t>
      </w:r>
    </w:p>
    <w:p w14:paraId="1A60E911" w14:textId="77777777" w:rsidR="004A7443" w:rsidRPr="005F6B08" w:rsidRDefault="004A7443" w:rsidP="004A7443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5F6B08">
        <w:rPr>
          <w:rFonts w:cs="Calibri"/>
          <w:b/>
          <w:bCs/>
          <w:sz w:val="22"/>
          <w:szCs w:val="22"/>
          <w:lang w:val="pt-PT"/>
        </w:rPr>
        <w:t>MINISTÉRIO DA AGRICULTURA, AMBIENTE E PESCAS</w:t>
      </w:r>
    </w:p>
    <w:p w14:paraId="12D9FB95" w14:textId="77777777" w:rsidR="004A7443" w:rsidRPr="005F6B08" w:rsidRDefault="004A7443" w:rsidP="004A7443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5F6B08">
        <w:rPr>
          <w:rFonts w:cs="Calibri"/>
          <w:b/>
          <w:bCs/>
          <w:sz w:val="22"/>
          <w:szCs w:val="22"/>
          <w:lang w:val="pt-PT"/>
        </w:rPr>
        <w:t>COMISSÃO DE REVISÃO DA POLÍTICA E LEI DO AMBIENTE</w:t>
      </w:r>
    </w:p>
    <w:p w14:paraId="4F9544C4" w14:textId="77777777" w:rsidR="004A7443" w:rsidRPr="005F6B08" w:rsidRDefault="004A7443" w:rsidP="004A7443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</w:p>
    <w:p w14:paraId="2C7BF18A" w14:textId="77777777" w:rsidR="004A7443" w:rsidRPr="005F6B08" w:rsidRDefault="004A7443" w:rsidP="004A7443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5F6B08">
        <w:rPr>
          <w:rFonts w:cs="Calibri"/>
          <w:b/>
          <w:bCs/>
          <w:sz w:val="22"/>
          <w:szCs w:val="22"/>
          <w:lang w:val="pt-PT"/>
        </w:rPr>
        <w:t>CONSULTA PÚBLICA DO DRAFT “0” DO ANTE-PROJECTO DA POLÍTICA NACIONAL E LEI DO AMBIENTE</w:t>
      </w:r>
    </w:p>
    <w:p w14:paraId="29EE08E9" w14:textId="77777777" w:rsidR="004A7443" w:rsidRPr="005F6B08" w:rsidRDefault="004A7443" w:rsidP="004A7443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5F6B08">
        <w:rPr>
          <w:rFonts w:cs="Calibri"/>
          <w:b/>
          <w:bCs/>
          <w:sz w:val="22"/>
          <w:szCs w:val="22"/>
          <w:lang w:val="pt-PT"/>
        </w:rPr>
        <w:t>MATRIZ DE CONTRIBUIÇÕES</w:t>
      </w:r>
    </w:p>
    <w:p w14:paraId="2BD89AF4" w14:textId="77777777" w:rsidR="004A7443" w:rsidRPr="005F6B08" w:rsidRDefault="004A7443" w:rsidP="004A7443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</w:p>
    <w:p w14:paraId="2FBD40FB" w14:textId="77777777" w:rsidR="004A7443" w:rsidRPr="005F6B08" w:rsidRDefault="004A7443" w:rsidP="004A7443">
      <w:pPr>
        <w:pBdr>
          <w:bottom w:val="single" w:sz="12" w:space="2" w:color="auto"/>
        </w:pBdr>
        <w:spacing w:after="0" w:line="240" w:lineRule="auto"/>
        <w:rPr>
          <w:rFonts w:eastAsiaTheme="majorEastAsia" w:cs="Calibri"/>
          <w:lang w:val="pt-PT"/>
        </w:rPr>
      </w:pPr>
      <w:r w:rsidRPr="005F6B08">
        <w:rPr>
          <w:rFonts w:cs="Calibri"/>
          <w:b/>
          <w:bCs/>
          <w:lang w:val="pt-PT"/>
        </w:rPr>
        <w:t>Grupo de Interesse</w:t>
      </w:r>
      <w:r w:rsidRPr="005F6B08">
        <w:rPr>
          <w:rStyle w:val="FootnoteReference"/>
          <w:rFonts w:cs="Calibri"/>
          <w:b/>
          <w:bCs/>
          <w:lang w:val="pt-PT"/>
        </w:rPr>
        <w:footnoteReference w:id="1"/>
      </w:r>
      <w:r w:rsidRPr="005F6B08">
        <w:rPr>
          <w:rFonts w:cs="Calibri"/>
          <w:b/>
          <w:bCs/>
          <w:lang w:val="pt-PT"/>
        </w:rPr>
        <w:t>:</w:t>
      </w:r>
      <w:r w:rsidRPr="005F6B08">
        <w:rPr>
          <w:rFonts w:cs="Calibri"/>
          <w:b/>
          <w:bCs/>
          <w:lang w:val="pt-PT"/>
        </w:rPr>
        <w:tab/>
      </w:r>
      <w:r w:rsidRPr="005F6B08">
        <w:rPr>
          <w:rFonts w:cs="Calibri"/>
          <w:b/>
          <w:bCs/>
          <w:lang w:val="pt-PT"/>
        </w:rPr>
        <w:tab/>
      </w:r>
      <w:r w:rsidRPr="005F6B08">
        <w:rPr>
          <w:rFonts w:cs="Calibri"/>
          <w:b/>
          <w:bCs/>
          <w:lang w:val="pt-PT"/>
        </w:rPr>
        <w:tab/>
      </w:r>
      <w:r w:rsidRPr="005F6B08">
        <w:rPr>
          <w:rFonts w:cs="Calibri"/>
          <w:b/>
          <w:bCs/>
          <w:lang w:val="pt-PT"/>
        </w:rPr>
        <w:tab/>
      </w:r>
      <w:r w:rsidRPr="005F6B08">
        <w:rPr>
          <w:rFonts w:cs="Calibri"/>
          <w:b/>
          <w:bCs/>
          <w:lang w:val="pt-PT"/>
        </w:rPr>
        <w:tab/>
      </w:r>
      <w:r w:rsidRPr="005F6B08">
        <w:rPr>
          <w:rFonts w:cs="Calibri"/>
          <w:b/>
          <w:bCs/>
          <w:lang w:val="pt-PT"/>
        </w:rPr>
        <w:tab/>
      </w:r>
    </w:p>
    <w:p w14:paraId="0A72BBD2" w14:textId="77777777" w:rsidR="004A7443" w:rsidRPr="005F6B08" w:rsidRDefault="004A7443" w:rsidP="004A7443">
      <w:pPr>
        <w:pStyle w:val="ListParagraph4"/>
        <w:numPr>
          <w:ilvl w:val="0"/>
          <w:numId w:val="6"/>
        </w:numPr>
        <w:spacing w:before="240" w:beforeAutospacing="0" w:after="200" w:line="240" w:lineRule="auto"/>
        <w:jc w:val="both"/>
        <w:rPr>
          <w:rFonts w:eastAsiaTheme="majorEastAsia" w:cs="Calibri"/>
          <w:b/>
          <w:u w:val="single"/>
        </w:rPr>
      </w:pPr>
      <w:r w:rsidRPr="005F6B08">
        <w:rPr>
          <w:rFonts w:eastAsiaTheme="majorEastAsia" w:cs="Calibri"/>
          <w:b/>
        </w:rPr>
        <w:t>LOCAL DA CONSULTA</w:t>
      </w:r>
    </w:p>
    <w:p w14:paraId="6E9C2A92" w14:textId="77777777" w:rsidR="004A7443" w:rsidRPr="005F6B08" w:rsidRDefault="004A7443" w:rsidP="004A7443">
      <w:pPr>
        <w:spacing w:before="0" w:line="240" w:lineRule="auto"/>
        <w:rPr>
          <w:rFonts w:eastAsiaTheme="majorEastAsia" w:cs="Calibri"/>
          <w:lang w:val="pt-PT"/>
        </w:rPr>
      </w:pPr>
      <w:r w:rsidRPr="005F6B08">
        <w:rPr>
          <w:rFonts w:eastAsiaTheme="majorEastAsia" w:cs="Calibri"/>
          <w:lang w:val="pt-PT"/>
        </w:rPr>
        <w:t>Província:</w:t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bCs/>
          <w:lang w:val="pt-PT"/>
        </w:rPr>
        <w:t>Data da Sessão/Consulta:</w:t>
      </w:r>
      <w:r w:rsidRPr="005F6B08">
        <w:rPr>
          <w:rFonts w:eastAsiaTheme="majorEastAsia" w:cs="Calibri"/>
          <w:lang w:val="pt-PT"/>
        </w:rPr>
        <w:t xml:space="preserve"> </w:t>
      </w:r>
    </w:p>
    <w:p w14:paraId="781A2796" w14:textId="77777777" w:rsidR="004A7443" w:rsidRPr="005F6B08" w:rsidRDefault="004A7443" w:rsidP="004A7443">
      <w:pPr>
        <w:spacing w:before="0" w:line="240" w:lineRule="auto"/>
        <w:rPr>
          <w:rFonts w:eastAsiaTheme="majorEastAsia" w:cs="Calibri"/>
          <w:u w:val="single"/>
          <w:lang w:val="pt-PT"/>
        </w:rPr>
      </w:pPr>
      <w:r w:rsidRPr="005F6B08">
        <w:rPr>
          <w:rFonts w:eastAsiaTheme="majorEastAsia" w:cs="Calibri"/>
          <w:lang w:val="pt-PT"/>
        </w:rPr>
        <w:t xml:space="preserve">Cidade/Município/Distrito de:                                   </w:t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lang w:val="pt-PT"/>
        </w:rPr>
        <w:tab/>
      </w:r>
      <w:r w:rsidRPr="005F6B08">
        <w:rPr>
          <w:rFonts w:eastAsiaTheme="majorEastAsia" w:cs="Calibri"/>
          <w:lang w:val="pt-PT"/>
        </w:rPr>
        <w:tab/>
        <w:t xml:space="preserve">Instituição/Bairro/Comunidade de: </w:t>
      </w:r>
    </w:p>
    <w:p w14:paraId="1E6D8BC6" w14:textId="77777777" w:rsidR="004A7443" w:rsidRPr="005F6B08" w:rsidRDefault="004A7443" w:rsidP="004A7443">
      <w:pPr>
        <w:spacing w:before="0" w:after="0" w:line="240" w:lineRule="auto"/>
        <w:rPr>
          <w:rFonts w:eastAsiaTheme="majorEastAsia" w:cs="Calibri"/>
          <w:lang w:val="pt-PT"/>
        </w:rPr>
      </w:pPr>
    </w:p>
    <w:p w14:paraId="6B97DC28" w14:textId="77777777" w:rsidR="004A7443" w:rsidRPr="005F6B08" w:rsidRDefault="004A7443" w:rsidP="004A7443">
      <w:pPr>
        <w:spacing w:before="0" w:after="0" w:line="240" w:lineRule="auto"/>
        <w:rPr>
          <w:rFonts w:eastAsiaTheme="majorEastAsia" w:cs="Calibri"/>
          <w:lang w:val="pt-PT"/>
        </w:rPr>
      </w:pPr>
    </w:p>
    <w:tbl>
      <w:tblPr>
        <w:tblStyle w:val="TableGrid"/>
        <w:tblpPr w:leftFromText="180" w:rightFromText="180" w:vertAnchor="text" w:horzAnchor="page" w:tblpX="1623" w:tblpY="-26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093"/>
        <w:gridCol w:w="836"/>
        <w:gridCol w:w="1375"/>
        <w:gridCol w:w="709"/>
        <w:gridCol w:w="1420"/>
        <w:gridCol w:w="709"/>
      </w:tblGrid>
      <w:tr w:rsidR="004A7443" w:rsidRPr="005F6B08" w14:paraId="58BC24A2" w14:textId="77777777" w:rsidTr="0010147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BE5D155" w14:textId="77777777" w:rsidR="004A7443" w:rsidRPr="005F6B08" w:rsidRDefault="004A7443" w:rsidP="00101471">
            <w:pPr>
              <w:spacing w:before="0"/>
              <w:rPr>
                <w:rFonts w:eastAsiaTheme="majorEastAsia" w:cs="Calibri"/>
                <w:b/>
              </w:rPr>
            </w:pPr>
            <w:r w:rsidRPr="005F6B08">
              <w:rPr>
                <w:rFonts w:eastAsiaTheme="majorEastAsia" w:cs="Calibri"/>
                <w:b/>
              </w:rPr>
              <w:t>Número de participantes: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</w:tcPr>
          <w:p w14:paraId="7A9C8BCF" w14:textId="77777777" w:rsidR="004A7443" w:rsidRPr="005F6B08" w:rsidRDefault="004A7443" w:rsidP="00101471">
            <w:pPr>
              <w:spacing w:before="0"/>
              <w:rPr>
                <w:rFonts w:eastAsiaTheme="majorEastAsia" w:cs="Calibri"/>
              </w:rPr>
            </w:pPr>
            <w:r w:rsidRPr="005F6B08">
              <w:rPr>
                <w:rFonts w:eastAsiaTheme="majorEastAsia" w:cs="Calibri"/>
              </w:rPr>
              <w:t>Total:</w:t>
            </w:r>
          </w:p>
        </w:tc>
        <w:tc>
          <w:tcPr>
            <w:tcW w:w="836" w:type="dxa"/>
          </w:tcPr>
          <w:p w14:paraId="62AC6D8C" w14:textId="77777777" w:rsidR="004A7443" w:rsidRPr="005F6B08" w:rsidRDefault="004A7443" w:rsidP="00101471">
            <w:pPr>
              <w:spacing w:before="0"/>
              <w:rPr>
                <w:rFonts w:eastAsiaTheme="majorEastAsia" w:cs="Calibri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F37CB0" w14:textId="77777777" w:rsidR="004A7443" w:rsidRPr="005F6B08" w:rsidRDefault="004A7443" w:rsidP="00101471">
            <w:pPr>
              <w:spacing w:before="0"/>
              <w:rPr>
                <w:rFonts w:eastAsiaTheme="majorEastAsia" w:cs="Calibri"/>
              </w:rPr>
            </w:pPr>
            <w:r w:rsidRPr="005F6B08">
              <w:rPr>
                <w:rFonts w:eastAsiaTheme="majorEastAsia" w:cs="Calibri"/>
              </w:rPr>
              <w:t>Homens:</w:t>
            </w:r>
          </w:p>
        </w:tc>
        <w:tc>
          <w:tcPr>
            <w:tcW w:w="709" w:type="dxa"/>
          </w:tcPr>
          <w:p w14:paraId="170323D6" w14:textId="77777777" w:rsidR="004A7443" w:rsidRPr="005F6B08" w:rsidRDefault="004A7443" w:rsidP="00101471">
            <w:pPr>
              <w:spacing w:before="0"/>
              <w:rPr>
                <w:rFonts w:eastAsiaTheme="majorEastAsia" w:cs="Calibri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828F8C" w14:textId="77777777" w:rsidR="004A7443" w:rsidRPr="005F6B08" w:rsidRDefault="004A7443" w:rsidP="00101471">
            <w:pPr>
              <w:spacing w:before="0"/>
              <w:rPr>
                <w:rFonts w:eastAsiaTheme="majorEastAsia" w:cs="Calibri"/>
              </w:rPr>
            </w:pPr>
            <w:r w:rsidRPr="005F6B08">
              <w:rPr>
                <w:rFonts w:eastAsiaTheme="majorEastAsia" w:cs="Calibri"/>
              </w:rPr>
              <w:t>Mulheres</w:t>
            </w:r>
          </w:p>
        </w:tc>
        <w:tc>
          <w:tcPr>
            <w:tcW w:w="709" w:type="dxa"/>
          </w:tcPr>
          <w:p w14:paraId="21C9E0A7" w14:textId="77777777" w:rsidR="004A7443" w:rsidRPr="005F6B08" w:rsidRDefault="004A7443" w:rsidP="00101471">
            <w:pPr>
              <w:spacing w:before="0"/>
              <w:rPr>
                <w:rFonts w:eastAsiaTheme="majorEastAsia" w:cs="Calibri"/>
              </w:rPr>
            </w:pPr>
          </w:p>
        </w:tc>
      </w:tr>
    </w:tbl>
    <w:p w14:paraId="44D63D02" w14:textId="77777777" w:rsidR="004A7443" w:rsidRPr="005F6B08" w:rsidRDefault="004A7443" w:rsidP="004A7443">
      <w:pPr>
        <w:spacing w:before="0" w:after="0"/>
        <w:rPr>
          <w:rFonts w:eastAsiaTheme="majorEastAsia" w:cs="Calibri"/>
        </w:rPr>
      </w:pPr>
    </w:p>
    <w:p w14:paraId="69EF4D9D" w14:textId="77777777" w:rsidR="004A7443" w:rsidRPr="005F6B08" w:rsidRDefault="004A7443" w:rsidP="004A7443">
      <w:pPr>
        <w:pStyle w:val="ListParagraph4"/>
        <w:numPr>
          <w:ilvl w:val="0"/>
          <w:numId w:val="6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 w:rsidRPr="005F6B08">
        <w:rPr>
          <w:rFonts w:eastAsiaTheme="majorEastAsia" w:cs="Calibri"/>
          <w:b/>
          <w:lang w:val="pt-PT"/>
        </w:rPr>
        <w:t>DADOS DO(S) PARTICIPANTE(S)</w:t>
      </w:r>
      <w:r w:rsidRPr="005F6B08">
        <w:rPr>
          <w:rStyle w:val="FootnoteReference"/>
          <w:rFonts w:eastAsiaTheme="majorEastAsia" w:cs="Calibri"/>
          <w:b/>
          <w:lang w:val="pt-PT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4A7443" w:rsidRPr="005F6B08" w14:paraId="68C5EC28" w14:textId="77777777" w:rsidTr="00101471">
        <w:tc>
          <w:tcPr>
            <w:tcW w:w="6475" w:type="dxa"/>
            <w:shd w:val="clear" w:color="auto" w:fill="002060"/>
          </w:tcPr>
          <w:p w14:paraId="1C8182B6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b/>
                <w:bCs/>
                <w:lang w:val="pt-PT"/>
              </w:rPr>
            </w:pPr>
            <w:r w:rsidRPr="005F6B08">
              <w:rPr>
                <w:rFonts w:cs="Calibri"/>
                <w:b/>
                <w:bCs/>
                <w:lang w:val="pt-PT"/>
              </w:rPr>
              <w:t>Nome(s)</w:t>
            </w:r>
          </w:p>
        </w:tc>
        <w:tc>
          <w:tcPr>
            <w:tcW w:w="6475" w:type="dxa"/>
            <w:shd w:val="clear" w:color="auto" w:fill="002060"/>
          </w:tcPr>
          <w:p w14:paraId="2F805191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b/>
                <w:bCs/>
                <w:lang w:val="pt-PT"/>
              </w:rPr>
            </w:pPr>
            <w:r w:rsidRPr="005F6B08">
              <w:rPr>
                <w:rFonts w:cs="Calibri"/>
                <w:b/>
                <w:bCs/>
                <w:lang w:val="pt-PT"/>
              </w:rPr>
              <w:t xml:space="preserve">Instituição </w:t>
            </w:r>
          </w:p>
        </w:tc>
      </w:tr>
      <w:tr w:rsidR="004A7443" w:rsidRPr="005F6B08" w14:paraId="57111964" w14:textId="77777777" w:rsidTr="00101471">
        <w:tc>
          <w:tcPr>
            <w:tcW w:w="6475" w:type="dxa"/>
          </w:tcPr>
          <w:p w14:paraId="0C01BB7D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39824EAD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4A7443" w:rsidRPr="005F6B08" w14:paraId="3BDE821E" w14:textId="77777777" w:rsidTr="00101471">
        <w:tc>
          <w:tcPr>
            <w:tcW w:w="6475" w:type="dxa"/>
          </w:tcPr>
          <w:p w14:paraId="4607E34D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37A7CFDF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4A7443" w:rsidRPr="005F6B08" w14:paraId="13ACCEA4" w14:textId="77777777" w:rsidTr="00101471">
        <w:tc>
          <w:tcPr>
            <w:tcW w:w="6475" w:type="dxa"/>
          </w:tcPr>
          <w:p w14:paraId="62328626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4751440F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4A7443" w:rsidRPr="005F6B08" w14:paraId="204AB1B3" w14:textId="77777777" w:rsidTr="00101471">
        <w:tc>
          <w:tcPr>
            <w:tcW w:w="6475" w:type="dxa"/>
          </w:tcPr>
          <w:p w14:paraId="67801F3A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393AD002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4A7443" w:rsidRPr="005F6B08" w14:paraId="4566B741" w14:textId="77777777" w:rsidTr="00101471">
        <w:tc>
          <w:tcPr>
            <w:tcW w:w="6475" w:type="dxa"/>
          </w:tcPr>
          <w:p w14:paraId="6C8FD2C0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64950ED4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4A7443" w:rsidRPr="005F6B08" w14:paraId="2C84E25E" w14:textId="77777777" w:rsidTr="00101471">
        <w:tc>
          <w:tcPr>
            <w:tcW w:w="6475" w:type="dxa"/>
          </w:tcPr>
          <w:p w14:paraId="10910318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26307853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4A7443" w:rsidRPr="005F6B08" w14:paraId="422BA694" w14:textId="77777777" w:rsidTr="00101471">
        <w:tc>
          <w:tcPr>
            <w:tcW w:w="6475" w:type="dxa"/>
          </w:tcPr>
          <w:p w14:paraId="00ECFE4E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1EE494C2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4A7443" w:rsidRPr="005F6B08" w14:paraId="5400491A" w14:textId="77777777" w:rsidTr="00101471">
        <w:tc>
          <w:tcPr>
            <w:tcW w:w="6475" w:type="dxa"/>
          </w:tcPr>
          <w:p w14:paraId="1FA2416A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2EB43FCC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4A7443" w:rsidRPr="005F6B08" w14:paraId="2CE52E88" w14:textId="77777777" w:rsidTr="00101471">
        <w:tc>
          <w:tcPr>
            <w:tcW w:w="6475" w:type="dxa"/>
          </w:tcPr>
          <w:p w14:paraId="2A015C0A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1134AD33" w14:textId="77777777" w:rsidR="004A7443" w:rsidRPr="005F6B08" w:rsidRDefault="004A7443" w:rsidP="00101471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</w:tbl>
    <w:p w14:paraId="6F36E94D" w14:textId="77777777" w:rsidR="004A7443" w:rsidRPr="005F6B08" w:rsidRDefault="004A7443" w:rsidP="004A7443">
      <w:pPr>
        <w:pStyle w:val="ListParagraph4"/>
        <w:numPr>
          <w:ilvl w:val="0"/>
          <w:numId w:val="6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 w:rsidRPr="005F6B08">
        <w:rPr>
          <w:rFonts w:eastAsiaTheme="majorEastAsia" w:cs="Calibri"/>
          <w:b/>
          <w:lang w:val="pt-PT"/>
        </w:rPr>
        <w:t xml:space="preserve">Contribuições gerais para a proposta do </w:t>
      </w:r>
      <w:proofErr w:type="spellStart"/>
      <w:r w:rsidRPr="005F6B08">
        <w:rPr>
          <w:rFonts w:eastAsiaTheme="majorEastAsia" w:cs="Calibri"/>
          <w:b/>
          <w:lang w:val="pt-PT"/>
        </w:rPr>
        <w:t>Ante-Projecto</w:t>
      </w:r>
      <w:proofErr w:type="spellEnd"/>
      <w:r w:rsidRPr="005F6B08">
        <w:rPr>
          <w:rFonts w:eastAsiaTheme="majorEastAsia" w:cs="Calibri"/>
          <w:b/>
          <w:lang w:val="pt-PT"/>
        </w:rPr>
        <w:t xml:space="preserve"> da Política Nacional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9"/>
        <w:gridCol w:w="1018"/>
        <w:gridCol w:w="7163"/>
      </w:tblGrid>
      <w:tr w:rsidR="004A7443" w:rsidRPr="00A92A62" w14:paraId="78066F04" w14:textId="77777777" w:rsidTr="00101471">
        <w:trPr>
          <w:trHeight w:val="236"/>
        </w:trPr>
        <w:tc>
          <w:tcPr>
            <w:tcW w:w="2027" w:type="pct"/>
            <w:shd w:val="clear" w:color="auto" w:fill="002060"/>
            <w:vAlign w:val="center"/>
          </w:tcPr>
          <w:p w14:paraId="28A11D45" w14:textId="77777777" w:rsidR="004A7443" w:rsidRPr="00A92A62" w:rsidRDefault="004A7443" w:rsidP="00101471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 w:rsidRPr="00A92A62">
              <w:rPr>
                <w:rFonts w:cs="Calibri"/>
                <w:b/>
                <w:szCs w:val="20"/>
                <w:lang w:val="pt-PT"/>
              </w:rPr>
              <w:t>Tema</w:t>
            </w:r>
          </w:p>
        </w:tc>
        <w:tc>
          <w:tcPr>
            <w:tcW w:w="370" w:type="pct"/>
            <w:shd w:val="clear" w:color="auto" w:fill="002060"/>
            <w:vAlign w:val="center"/>
          </w:tcPr>
          <w:p w14:paraId="47ECA1EE" w14:textId="77777777" w:rsidR="004A7443" w:rsidRPr="00A92A62" w:rsidRDefault="004A7443" w:rsidP="00101471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 w:rsidRPr="00A92A62">
              <w:rPr>
                <w:rFonts w:cs="Calibri"/>
                <w:b/>
                <w:szCs w:val="20"/>
                <w:lang w:val="pt-BR"/>
              </w:rPr>
              <w:t>Pag.</w:t>
            </w:r>
          </w:p>
        </w:tc>
        <w:tc>
          <w:tcPr>
            <w:tcW w:w="2603" w:type="pct"/>
            <w:shd w:val="clear" w:color="auto" w:fill="002060"/>
            <w:vAlign w:val="center"/>
          </w:tcPr>
          <w:p w14:paraId="5C0CF456" w14:textId="77777777" w:rsidR="004A7443" w:rsidRPr="00A92A62" w:rsidRDefault="004A7443" w:rsidP="00101471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A92A62">
              <w:rPr>
                <w:rFonts w:cs="Calibri"/>
                <w:b/>
                <w:bCs/>
                <w:szCs w:val="20"/>
                <w:lang w:val="pt-PT"/>
              </w:rPr>
              <w:t>CONTRIBUIÇÕES</w:t>
            </w:r>
          </w:p>
        </w:tc>
      </w:tr>
      <w:tr w:rsidR="004A7443" w:rsidRPr="003423D1" w14:paraId="1621DE0C" w14:textId="77777777" w:rsidTr="00101471">
        <w:trPr>
          <w:trHeight w:val="917"/>
        </w:trPr>
        <w:tc>
          <w:tcPr>
            <w:tcW w:w="2027" w:type="pct"/>
          </w:tcPr>
          <w:p w14:paraId="29DDDC3F" w14:textId="77777777" w:rsidR="004A7443" w:rsidRPr="003423D1" w:rsidRDefault="004A7443" w:rsidP="00101471">
            <w:pPr>
              <w:spacing w:after="0"/>
              <w:ind w:left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</w:p>
          <w:p w14:paraId="3F573707" w14:textId="77777777" w:rsidR="004A7443" w:rsidRPr="003423D1" w:rsidRDefault="004A7443" w:rsidP="00101471">
            <w:pPr>
              <w:spacing w:after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  <w:r w:rsidRPr="003423D1">
              <w:rPr>
                <w:rFonts w:asciiTheme="majorHAnsi" w:eastAsia="Footlight MT Light" w:hAnsiTheme="majorHAnsi" w:cstheme="majorHAnsi"/>
                <w:color w:val="000000"/>
                <w:lang w:val="pt-PT"/>
              </w:rPr>
              <w:t xml:space="preserve"> </w:t>
            </w:r>
          </w:p>
        </w:tc>
        <w:tc>
          <w:tcPr>
            <w:tcW w:w="370" w:type="pct"/>
          </w:tcPr>
          <w:p w14:paraId="0FE6CEBA" w14:textId="77777777" w:rsidR="004A7443" w:rsidRPr="003423D1" w:rsidRDefault="004A7443" w:rsidP="00101471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24957E7A" w14:textId="77777777" w:rsidR="004A7443" w:rsidRPr="003423D1" w:rsidRDefault="004A7443" w:rsidP="0010147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4A7443" w:rsidRPr="003423D1" w14:paraId="482EB698" w14:textId="77777777" w:rsidTr="00101471">
        <w:trPr>
          <w:trHeight w:val="997"/>
        </w:trPr>
        <w:tc>
          <w:tcPr>
            <w:tcW w:w="2027" w:type="pct"/>
          </w:tcPr>
          <w:p w14:paraId="2C503007" w14:textId="77777777" w:rsidR="004A7443" w:rsidRPr="003423D1" w:rsidRDefault="004A7443" w:rsidP="00101471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  <w:p w14:paraId="1B4F42D4" w14:textId="77777777" w:rsidR="004A7443" w:rsidRPr="003423D1" w:rsidRDefault="004A7443" w:rsidP="00101471">
            <w:pPr>
              <w:spacing w:after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4AC38107" w14:textId="77777777" w:rsidR="004A7443" w:rsidRPr="003423D1" w:rsidRDefault="004A7443" w:rsidP="0010147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4939C45B" w14:textId="77777777" w:rsidR="004A7443" w:rsidRPr="003423D1" w:rsidRDefault="004A7443" w:rsidP="00101471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</w:tr>
      <w:tr w:rsidR="004A7443" w:rsidRPr="003423D1" w14:paraId="6F1F3483" w14:textId="77777777" w:rsidTr="00101471">
        <w:trPr>
          <w:trHeight w:val="997"/>
        </w:trPr>
        <w:tc>
          <w:tcPr>
            <w:tcW w:w="2027" w:type="pct"/>
          </w:tcPr>
          <w:p w14:paraId="431FAF66" w14:textId="77777777" w:rsidR="004A7443" w:rsidRPr="003423D1" w:rsidRDefault="004A7443" w:rsidP="00101471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3198AF27" w14:textId="77777777" w:rsidR="004A7443" w:rsidRPr="003423D1" w:rsidRDefault="004A7443" w:rsidP="0010147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49842F81" w14:textId="77777777" w:rsidR="004A7443" w:rsidRPr="003423D1" w:rsidRDefault="004A7443" w:rsidP="00101471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</w:tr>
    </w:tbl>
    <w:p w14:paraId="1B2E7ED4" w14:textId="77777777" w:rsidR="004A7443" w:rsidRDefault="004A7443" w:rsidP="004A7443">
      <w:pPr>
        <w:spacing w:after="200" w:line="276" w:lineRule="auto"/>
        <w:rPr>
          <w:rFonts w:asciiTheme="majorHAnsi" w:hAnsiTheme="majorHAnsi" w:cstheme="majorHAnsi"/>
          <w:b/>
          <w:bCs/>
          <w:lang w:val="pt-BR"/>
        </w:rPr>
      </w:pPr>
    </w:p>
    <w:p w14:paraId="61C43A98" w14:textId="77777777" w:rsidR="004A7443" w:rsidRPr="005F6B08" w:rsidRDefault="004A7443" w:rsidP="004A7443">
      <w:pPr>
        <w:pStyle w:val="ListParagraph4"/>
        <w:numPr>
          <w:ilvl w:val="0"/>
          <w:numId w:val="6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 w:rsidRPr="005F6B08">
        <w:rPr>
          <w:rFonts w:eastAsiaTheme="majorEastAsia" w:cs="Calibri"/>
          <w:b/>
          <w:lang w:val="pt-PT"/>
        </w:rPr>
        <w:t xml:space="preserve">Contribuições gerais para a proposta do </w:t>
      </w:r>
      <w:proofErr w:type="spellStart"/>
      <w:r w:rsidRPr="005F6B08">
        <w:rPr>
          <w:rFonts w:eastAsiaTheme="majorEastAsia" w:cs="Calibri"/>
          <w:b/>
          <w:lang w:val="pt-PT"/>
        </w:rPr>
        <w:t>Ante-Projecto</w:t>
      </w:r>
      <w:proofErr w:type="spellEnd"/>
      <w:r w:rsidRPr="005F6B08">
        <w:rPr>
          <w:rFonts w:eastAsiaTheme="majorEastAsia" w:cs="Calibri"/>
          <w:b/>
          <w:lang w:val="pt-PT"/>
        </w:rPr>
        <w:t xml:space="preserve"> da Lei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1018"/>
        <w:gridCol w:w="878"/>
        <w:gridCol w:w="1216"/>
        <w:gridCol w:w="9335"/>
      </w:tblGrid>
      <w:tr w:rsidR="004A7443" w:rsidRPr="0054316F" w14:paraId="0A027AAC" w14:textId="77777777" w:rsidTr="00101471">
        <w:trPr>
          <w:trHeight w:val="251"/>
        </w:trPr>
        <w:tc>
          <w:tcPr>
            <w:tcW w:w="477" w:type="pct"/>
            <w:shd w:val="clear" w:color="auto" w:fill="002060"/>
          </w:tcPr>
          <w:p w14:paraId="4008C02C" w14:textId="77777777" w:rsidR="004A7443" w:rsidRPr="0054316F" w:rsidRDefault="004A7443" w:rsidP="00101471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 w:rsidRPr="0054316F">
              <w:rPr>
                <w:rFonts w:cs="Calibri"/>
                <w:b/>
                <w:szCs w:val="20"/>
                <w:lang w:val="pt-PT"/>
              </w:rPr>
              <w:t>CAPÍT.</w:t>
            </w:r>
          </w:p>
        </w:tc>
        <w:tc>
          <w:tcPr>
            <w:tcW w:w="370" w:type="pct"/>
            <w:shd w:val="clear" w:color="auto" w:fill="002060"/>
          </w:tcPr>
          <w:p w14:paraId="2AC1217E" w14:textId="77777777" w:rsidR="004A7443" w:rsidRPr="0054316F" w:rsidRDefault="004A7443" w:rsidP="00101471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 w:rsidRPr="0054316F">
              <w:rPr>
                <w:rFonts w:cs="Calibri"/>
                <w:b/>
                <w:szCs w:val="20"/>
                <w:lang w:val="pt-BR"/>
              </w:rPr>
              <w:t>ART.</w:t>
            </w:r>
          </w:p>
        </w:tc>
        <w:tc>
          <w:tcPr>
            <w:tcW w:w="319" w:type="pct"/>
            <w:shd w:val="clear" w:color="auto" w:fill="002060"/>
          </w:tcPr>
          <w:p w14:paraId="4E2E9984" w14:textId="77777777" w:rsidR="004A7443" w:rsidRPr="0054316F" w:rsidRDefault="004A7443" w:rsidP="00101471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54316F">
              <w:rPr>
                <w:rFonts w:cs="Calibri"/>
                <w:b/>
                <w:bCs/>
                <w:szCs w:val="20"/>
                <w:lang w:val="pt-PT"/>
              </w:rPr>
              <w:t>N°</w:t>
            </w:r>
          </w:p>
        </w:tc>
        <w:tc>
          <w:tcPr>
            <w:tcW w:w="442" w:type="pct"/>
            <w:shd w:val="clear" w:color="auto" w:fill="002060"/>
          </w:tcPr>
          <w:p w14:paraId="6CC44660" w14:textId="77777777" w:rsidR="004A7443" w:rsidRPr="0054316F" w:rsidRDefault="004A7443" w:rsidP="00101471">
            <w:pPr>
              <w:spacing w:before="0" w:after="0"/>
              <w:ind w:left="0" w:right="-145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54316F">
              <w:rPr>
                <w:rFonts w:cs="Calibri"/>
                <w:b/>
                <w:bCs/>
                <w:szCs w:val="20"/>
                <w:lang w:val="pt-PT"/>
              </w:rPr>
              <w:t>ALÍNEA</w:t>
            </w:r>
          </w:p>
        </w:tc>
        <w:tc>
          <w:tcPr>
            <w:tcW w:w="3392" w:type="pct"/>
            <w:shd w:val="clear" w:color="auto" w:fill="002060"/>
          </w:tcPr>
          <w:p w14:paraId="40CCC085" w14:textId="77777777" w:rsidR="004A7443" w:rsidRPr="0054316F" w:rsidRDefault="004A7443" w:rsidP="00101471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</w:rPr>
            </w:pPr>
            <w:r w:rsidRPr="0054316F">
              <w:rPr>
                <w:rFonts w:cs="Calibri"/>
                <w:b/>
                <w:bCs/>
                <w:szCs w:val="20"/>
              </w:rPr>
              <w:t>CONTRIBUIÇÕES</w:t>
            </w:r>
          </w:p>
        </w:tc>
      </w:tr>
      <w:tr w:rsidR="004A7443" w:rsidRPr="00756EDD" w14:paraId="292425FF" w14:textId="77777777" w:rsidTr="00101471">
        <w:trPr>
          <w:trHeight w:val="890"/>
        </w:trPr>
        <w:tc>
          <w:tcPr>
            <w:tcW w:w="477" w:type="pct"/>
          </w:tcPr>
          <w:p w14:paraId="1C28CF7C" w14:textId="77777777" w:rsidR="004A7443" w:rsidRPr="00756EDD" w:rsidRDefault="004A7443" w:rsidP="00101471">
            <w:pPr>
              <w:spacing w:after="0"/>
              <w:rPr>
                <w:rFonts w:asciiTheme="majorHAnsi" w:eastAsia="Footlight MT Light" w:hAnsiTheme="majorHAnsi" w:cstheme="majorHAnsi"/>
                <w:color w:val="000000"/>
              </w:rPr>
            </w:pPr>
          </w:p>
          <w:p w14:paraId="64AC87F5" w14:textId="77777777" w:rsidR="004A7443" w:rsidRPr="00756EDD" w:rsidRDefault="004A7443" w:rsidP="00101471">
            <w:pPr>
              <w:spacing w:after="0"/>
              <w:ind w:left="0"/>
              <w:rPr>
                <w:rFonts w:asciiTheme="majorHAnsi" w:eastAsia="Footlight MT Light" w:hAnsiTheme="majorHAnsi" w:cstheme="majorHAnsi"/>
                <w:color w:val="000000"/>
              </w:rPr>
            </w:pPr>
          </w:p>
        </w:tc>
        <w:tc>
          <w:tcPr>
            <w:tcW w:w="370" w:type="pct"/>
          </w:tcPr>
          <w:p w14:paraId="49E8BFE2" w14:textId="77777777" w:rsidR="004A7443" w:rsidRPr="00756EDD" w:rsidRDefault="004A7443" w:rsidP="00101471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011620F0" w14:textId="77777777" w:rsidR="004A7443" w:rsidRPr="00756EDD" w:rsidRDefault="004A7443" w:rsidP="0010147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  <w:tc>
          <w:tcPr>
            <w:tcW w:w="442" w:type="pct"/>
          </w:tcPr>
          <w:p w14:paraId="48FA56E0" w14:textId="77777777" w:rsidR="004A7443" w:rsidRPr="00756EDD" w:rsidRDefault="004A7443" w:rsidP="0010147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  <w:tc>
          <w:tcPr>
            <w:tcW w:w="3392" w:type="pct"/>
          </w:tcPr>
          <w:p w14:paraId="46E3B85A" w14:textId="77777777" w:rsidR="004A7443" w:rsidRPr="00A92A62" w:rsidRDefault="004A7443" w:rsidP="00101471">
            <w:pPr>
              <w:pStyle w:val="ListParagraph"/>
              <w:ind w:left="0"/>
              <w:rPr>
                <w:rFonts w:cs="Calibri"/>
                <w:szCs w:val="20"/>
                <w:lang w:val="en-GB"/>
              </w:rPr>
            </w:pPr>
          </w:p>
        </w:tc>
      </w:tr>
      <w:tr w:rsidR="004A7443" w:rsidRPr="00756EDD" w14:paraId="336A1BC8" w14:textId="77777777" w:rsidTr="00101471">
        <w:tc>
          <w:tcPr>
            <w:tcW w:w="477" w:type="pct"/>
          </w:tcPr>
          <w:p w14:paraId="6AD25E2F" w14:textId="77777777" w:rsidR="004A7443" w:rsidRPr="00756EDD" w:rsidRDefault="004A7443" w:rsidP="00101471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  <w:p w14:paraId="237413E8" w14:textId="77777777" w:rsidR="004A7443" w:rsidRPr="00756EDD" w:rsidRDefault="004A7443" w:rsidP="00101471">
            <w:pPr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70" w:type="pct"/>
          </w:tcPr>
          <w:p w14:paraId="372C753D" w14:textId="77777777" w:rsidR="004A7443" w:rsidRPr="00756EDD" w:rsidRDefault="004A7443" w:rsidP="0010147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3F9A635A" w14:textId="77777777" w:rsidR="004A7443" w:rsidRPr="00756EDD" w:rsidRDefault="004A7443" w:rsidP="00101471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  <w:tc>
          <w:tcPr>
            <w:tcW w:w="442" w:type="pct"/>
          </w:tcPr>
          <w:p w14:paraId="20E24465" w14:textId="77777777" w:rsidR="004A7443" w:rsidRPr="00756EDD" w:rsidRDefault="004A7443" w:rsidP="00101471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  <w:tc>
          <w:tcPr>
            <w:tcW w:w="3392" w:type="pct"/>
          </w:tcPr>
          <w:p w14:paraId="2366A239" w14:textId="77777777" w:rsidR="004A7443" w:rsidRPr="00756EDD" w:rsidRDefault="004A7443" w:rsidP="00101471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</w:tr>
      <w:tr w:rsidR="004A7443" w:rsidRPr="00756EDD" w14:paraId="6ED18075" w14:textId="77777777" w:rsidTr="00101471">
        <w:tc>
          <w:tcPr>
            <w:tcW w:w="477" w:type="pct"/>
          </w:tcPr>
          <w:p w14:paraId="08B88E8B" w14:textId="77777777" w:rsidR="004A7443" w:rsidRPr="00756EDD" w:rsidRDefault="004A7443" w:rsidP="00101471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  <w:p w14:paraId="2B411788" w14:textId="77777777" w:rsidR="004A7443" w:rsidRPr="00756EDD" w:rsidRDefault="004A7443" w:rsidP="00101471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70" w:type="pct"/>
          </w:tcPr>
          <w:p w14:paraId="7B30763F" w14:textId="77777777" w:rsidR="004A7443" w:rsidRPr="00756EDD" w:rsidRDefault="004A7443" w:rsidP="00101471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19" w:type="pct"/>
          </w:tcPr>
          <w:p w14:paraId="0D3557C9" w14:textId="77777777" w:rsidR="004A7443" w:rsidRPr="00756EDD" w:rsidRDefault="004A7443" w:rsidP="00101471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442" w:type="pct"/>
          </w:tcPr>
          <w:p w14:paraId="5275681A" w14:textId="77777777" w:rsidR="004A7443" w:rsidRPr="00756EDD" w:rsidRDefault="004A7443" w:rsidP="00101471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392" w:type="pct"/>
          </w:tcPr>
          <w:p w14:paraId="7D277C1E" w14:textId="77777777" w:rsidR="004A7443" w:rsidRPr="00756EDD" w:rsidRDefault="004A7443" w:rsidP="00101471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14:paraId="763A088E" w14:textId="77777777" w:rsidR="004A7443" w:rsidRDefault="004A7443" w:rsidP="004A7443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3"/>
        <w:gridCol w:w="5647"/>
        <w:gridCol w:w="28"/>
        <w:gridCol w:w="4945"/>
      </w:tblGrid>
      <w:tr w:rsidR="004A7443" w:rsidRPr="00741E00" w14:paraId="4CA748D3" w14:textId="77777777" w:rsidTr="00101471">
        <w:trPr>
          <w:trHeight w:val="20"/>
          <w:tblHeader/>
          <w:jc w:val="center"/>
        </w:trPr>
        <w:tc>
          <w:tcPr>
            <w:tcW w:w="2965" w:type="dxa"/>
            <w:gridSpan w:val="2"/>
            <w:shd w:val="clear" w:color="auto" w:fill="002060"/>
          </w:tcPr>
          <w:p w14:paraId="2B6719C3" w14:textId="77777777" w:rsidR="004A7443" w:rsidRPr="00741E00" w:rsidRDefault="004A7443" w:rsidP="00101471">
            <w:pPr>
              <w:ind w:left="144"/>
              <w:rPr>
                <w:rFonts w:cs="Calibri"/>
                <w:b/>
                <w:lang w:val="pt-PT"/>
              </w:rPr>
            </w:pPr>
            <w:r w:rsidRPr="004A7443">
              <w:rPr>
                <w:rFonts w:cs="Calibri"/>
                <w:lang w:val="pt-PT"/>
              </w:rPr>
              <w:lastRenderedPageBreak/>
              <w:br w:type="page"/>
            </w:r>
            <w:r w:rsidRPr="00741E00">
              <w:rPr>
                <w:rFonts w:cs="Calibri"/>
                <w:b/>
                <w:lang w:val="pt-PT"/>
              </w:rPr>
              <w:t>1. Desafios Actuais do Sector do Ambiente</w:t>
            </w:r>
          </w:p>
        </w:tc>
        <w:tc>
          <w:tcPr>
            <w:tcW w:w="5675" w:type="dxa"/>
            <w:gridSpan w:val="2"/>
            <w:shd w:val="clear" w:color="auto" w:fill="002060"/>
          </w:tcPr>
          <w:p w14:paraId="2D541027" w14:textId="66E0A183" w:rsidR="004A7443" w:rsidRPr="00741E00" w:rsidRDefault="004A7443" w:rsidP="00101471">
            <w:pPr>
              <w:ind w:left="144"/>
              <w:rPr>
                <w:rFonts w:cs="Calibri"/>
                <w:b/>
                <w:lang w:val="pt-PT"/>
              </w:rPr>
            </w:pPr>
            <w:r w:rsidRPr="00741E00">
              <w:rPr>
                <w:rFonts w:cs="Calibri"/>
                <w:b/>
                <w:bCs/>
                <w:lang w:val="pt-PT"/>
              </w:rPr>
              <w:t xml:space="preserve">2. Medidas Propostas no </w:t>
            </w:r>
            <w:proofErr w:type="spellStart"/>
            <w:r w:rsidRPr="00741E00">
              <w:rPr>
                <w:rFonts w:cs="Calibri"/>
                <w:b/>
                <w:bCs/>
                <w:lang w:val="pt-PT"/>
              </w:rPr>
              <w:t>Ante-Projecto</w:t>
            </w:r>
            <w:proofErr w:type="spellEnd"/>
            <w:r>
              <w:rPr>
                <w:rFonts w:cs="Calibri"/>
                <w:b/>
                <w:bCs/>
                <w:lang w:val="pt-PT"/>
              </w:rPr>
              <w:t xml:space="preserve"> da Política</w:t>
            </w:r>
          </w:p>
        </w:tc>
        <w:tc>
          <w:tcPr>
            <w:tcW w:w="4945" w:type="dxa"/>
            <w:shd w:val="clear" w:color="auto" w:fill="002060"/>
          </w:tcPr>
          <w:p w14:paraId="0CFC787F" w14:textId="77777777" w:rsidR="004A7443" w:rsidRPr="00741E00" w:rsidRDefault="004A7443" w:rsidP="00101471">
            <w:pPr>
              <w:ind w:left="144"/>
              <w:rPr>
                <w:rFonts w:cs="Calibri"/>
                <w:b/>
                <w:bCs/>
                <w:lang w:val="pt-PT"/>
              </w:rPr>
            </w:pPr>
            <w:r w:rsidRPr="00741E00">
              <w:rPr>
                <w:rFonts w:cs="Calibri"/>
                <w:b/>
                <w:bCs/>
                <w:lang w:val="pt-PT"/>
              </w:rPr>
              <w:t>3. Acha que a medida proposta responde ao desafio identificado?  (Inserir o RESUMO da contribuição)</w:t>
            </w:r>
          </w:p>
        </w:tc>
      </w:tr>
      <w:tr w:rsidR="004A7443" w:rsidRPr="004A7443" w14:paraId="64638A2C" w14:textId="77777777" w:rsidTr="00101471">
        <w:trPr>
          <w:trHeight w:val="20"/>
          <w:jc w:val="center"/>
        </w:trPr>
        <w:tc>
          <w:tcPr>
            <w:tcW w:w="13585" w:type="dxa"/>
            <w:gridSpan w:val="5"/>
            <w:shd w:val="clear" w:color="auto" w:fill="CCC0D9" w:themeFill="accent4" w:themeFillTint="66"/>
          </w:tcPr>
          <w:p w14:paraId="43B07ACB" w14:textId="0EEDFB59" w:rsidR="004A7443" w:rsidRPr="00741E00" w:rsidRDefault="004A7443" w:rsidP="00101471">
            <w:pPr>
              <w:jc w:val="center"/>
              <w:rPr>
                <w:rFonts w:cs="Calibri"/>
                <w:b/>
                <w:bCs/>
                <w:sz w:val="24"/>
                <w:lang w:val="pt-PT"/>
              </w:rPr>
            </w:pPr>
            <w:r w:rsidRPr="00741E00">
              <w:rPr>
                <w:rFonts w:cs="Calibri"/>
                <w:b/>
                <w:bCs/>
                <w:sz w:val="24"/>
                <w:lang w:val="pt-PT"/>
              </w:rPr>
              <w:t>Aspectos Legais</w:t>
            </w:r>
            <w:r>
              <w:rPr>
                <w:rFonts w:cs="Calibri"/>
                <w:b/>
                <w:bCs/>
                <w:sz w:val="24"/>
                <w:lang w:val="pt-PT"/>
              </w:rPr>
              <w:t xml:space="preserve"> (Política Nacional do Ambiente)</w:t>
            </w:r>
          </w:p>
        </w:tc>
      </w:tr>
      <w:tr w:rsidR="004A7443" w:rsidRPr="004A7443" w14:paraId="1E225A40" w14:textId="77777777" w:rsidTr="00101471">
        <w:trPr>
          <w:trHeight w:val="20"/>
          <w:jc w:val="center"/>
        </w:trPr>
        <w:tc>
          <w:tcPr>
            <w:tcW w:w="2965" w:type="dxa"/>
            <w:gridSpan w:val="2"/>
          </w:tcPr>
          <w:p w14:paraId="59B89E50" w14:textId="77777777" w:rsidR="004A7443" w:rsidRPr="00741E00" w:rsidRDefault="004A7443" w:rsidP="0010147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1. Manifesta impunidade dos infractores em relação aos instrumentos de gestão ambiental e de ordenamento do território, resulta na fraca implementação da legislação ambiental e do ordenamento do território</w:t>
            </w:r>
          </w:p>
        </w:tc>
        <w:tc>
          <w:tcPr>
            <w:tcW w:w="5675" w:type="dxa"/>
            <w:gridSpan w:val="2"/>
          </w:tcPr>
          <w:p w14:paraId="1A9E4539" w14:textId="77777777" w:rsidR="004A7443" w:rsidRPr="00741E00" w:rsidRDefault="004A7443" w:rsidP="00101471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1. Estabelecer mecanismos legais mais robustos para a penalização de infracções relacionadas com o ambiente e ordenamento do território, com ênfase nas autarquias</w:t>
            </w:r>
          </w:p>
          <w:p w14:paraId="44D24D3C" w14:textId="77777777" w:rsidR="004A7443" w:rsidRPr="00741E00" w:rsidRDefault="004A7443" w:rsidP="00101471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2. Estabelecer tribunais ambientais para infracções inerentes ao ordenamento do território e crimes ambientais</w:t>
            </w:r>
          </w:p>
          <w:p w14:paraId="52E9D31C" w14:textId="77777777" w:rsidR="004A7443" w:rsidRPr="00741E00" w:rsidRDefault="004A7443" w:rsidP="00101471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3. Estabelecer mecanismos de monitoria contínua e avaliação da implementação dos instrumentos de ordenamento</w:t>
            </w:r>
          </w:p>
        </w:tc>
        <w:tc>
          <w:tcPr>
            <w:tcW w:w="4945" w:type="dxa"/>
          </w:tcPr>
          <w:p w14:paraId="6F54AA9E" w14:textId="77777777" w:rsidR="004A7443" w:rsidRPr="00741E00" w:rsidRDefault="004A7443" w:rsidP="00101471">
            <w:pPr>
              <w:ind w:left="0"/>
              <w:rPr>
                <w:rFonts w:cs="Calibri"/>
                <w:lang w:val="pt-PT"/>
              </w:rPr>
            </w:pPr>
          </w:p>
        </w:tc>
      </w:tr>
      <w:tr w:rsidR="004A7443" w:rsidRPr="004A7443" w14:paraId="1C0417C6" w14:textId="77777777" w:rsidTr="00101471">
        <w:trPr>
          <w:trHeight w:val="20"/>
          <w:jc w:val="center"/>
        </w:trPr>
        <w:tc>
          <w:tcPr>
            <w:tcW w:w="2965" w:type="dxa"/>
            <w:gridSpan w:val="2"/>
          </w:tcPr>
          <w:p w14:paraId="26ECFDA0" w14:textId="77777777" w:rsidR="004A7443" w:rsidRPr="00741E00" w:rsidRDefault="004A7443" w:rsidP="0010147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2. Falta de regulamentação para matérias emergentes ou de alta criticidade ambiental</w:t>
            </w:r>
          </w:p>
        </w:tc>
        <w:tc>
          <w:tcPr>
            <w:tcW w:w="5675" w:type="dxa"/>
            <w:gridSpan w:val="2"/>
          </w:tcPr>
          <w:p w14:paraId="6CCABBB0" w14:textId="77777777" w:rsidR="004A7443" w:rsidRPr="00741E00" w:rsidRDefault="004A7443" w:rsidP="00101471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1. Elaborar o regulamento das mudanças climáticas com ênfase na adaptação e mitigação, visando a resiliência climática</w:t>
            </w:r>
          </w:p>
          <w:p w14:paraId="388F439A" w14:textId="77777777" w:rsidR="004A7443" w:rsidRPr="00741E00" w:rsidRDefault="004A7443" w:rsidP="00101471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2. Elaborar regulamentos e normas técnicas para áreas tais como economia circular, lixo electrónico, créditos de carbono, entre outros</w:t>
            </w:r>
          </w:p>
          <w:p w14:paraId="6B213DBD" w14:textId="77777777" w:rsidR="004A7443" w:rsidRPr="00741E00" w:rsidRDefault="004A7443" w:rsidP="00101471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3. Regular o uso de espécies exóticas com potencial económico, assegurando avaliações de risco ambiental e planos de maneio sustentáveis</w:t>
            </w:r>
          </w:p>
          <w:p w14:paraId="754A70D8" w14:textId="77777777" w:rsidR="004A7443" w:rsidRPr="00741E00" w:rsidRDefault="004A7443" w:rsidP="00101471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4. Estabelecer padrões e regulamentação sobre eficiência energética em edifícios públicos e privados, suportados por mecanismos de monitoria e certificação de eficiência energética</w:t>
            </w:r>
          </w:p>
          <w:p w14:paraId="43D811F8" w14:textId="77777777" w:rsidR="004A7443" w:rsidRPr="00741E00" w:rsidRDefault="004A7443" w:rsidP="00101471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5. Estabelecer e aplicar normas de responsabilidade ambiental, aplicáveis a entidades e operadores públicos e privados</w:t>
            </w:r>
          </w:p>
          <w:p w14:paraId="5336288A" w14:textId="77777777" w:rsidR="004A7443" w:rsidRPr="00741E00" w:rsidRDefault="004A7443" w:rsidP="00101471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6. Introduzir gradualmente instrumentos jurídicos e financeiros inovadores, como a responsabilidade ambiental objectiva e o seguro de responsabilidade ambiental, criando maior previsibilidade e capacidade de resposta perante danos ambientais</w:t>
            </w:r>
          </w:p>
        </w:tc>
        <w:tc>
          <w:tcPr>
            <w:tcW w:w="4945" w:type="dxa"/>
          </w:tcPr>
          <w:p w14:paraId="5FBE20FB" w14:textId="77777777" w:rsidR="004A7443" w:rsidRPr="00741E00" w:rsidRDefault="004A7443" w:rsidP="00101471">
            <w:pPr>
              <w:rPr>
                <w:rFonts w:cs="Calibri"/>
                <w:lang w:val="pt-PT"/>
              </w:rPr>
            </w:pPr>
          </w:p>
        </w:tc>
      </w:tr>
      <w:tr w:rsidR="008D3495" w14:paraId="65BADF31" w14:textId="77777777">
        <w:trPr>
          <w:trHeight w:val="20"/>
          <w:tblHeader/>
          <w:jc w:val="center"/>
        </w:trPr>
        <w:tc>
          <w:tcPr>
            <w:tcW w:w="2965" w:type="dxa"/>
            <w:gridSpan w:val="2"/>
            <w:shd w:val="clear" w:color="auto" w:fill="002060"/>
          </w:tcPr>
          <w:p w14:paraId="65BADF2E" w14:textId="77777777" w:rsidR="008D3495" w:rsidRDefault="00035C06">
            <w:pPr>
              <w:ind w:left="144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br w:type="page"/>
            </w:r>
            <w:r>
              <w:rPr>
                <w:rFonts w:cs="Calibri"/>
                <w:b/>
                <w:szCs w:val="20"/>
                <w:lang w:val="pt-PT"/>
              </w:rPr>
              <w:t>1. Desafios Actuais do Sector do Ambiente</w:t>
            </w:r>
          </w:p>
        </w:tc>
        <w:tc>
          <w:tcPr>
            <w:tcW w:w="5675" w:type="dxa"/>
            <w:gridSpan w:val="2"/>
            <w:shd w:val="clear" w:color="auto" w:fill="002060"/>
          </w:tcPr>
          <w:p w14:paraId="65BADF2F" w14:textId="77777777" w:rsidR="008D3495" w:rsidRDefault="00035C06">
            <w:pPr>
              <w:ind w:left="144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 xml:space="preserve">2. Medidas Propostas no </w:t>
            </w:r>
            <w:proofErr w:type="spellStart"/>
            <w:r>
              <w:rPr>
                <w:rFonts w:cs="Calibri"/>
                <w:b/>
                <w:bCs/>
                <w:szCs w:val="20"/>
                <w:lang w:val="pt-PT"/>
              </w:rPr>
              <w:t>Ante-Projecto</w:t>
            </w:r>
            <w:proofErr w:type="spellEnd"/>
            <w:r>
              <w:rPr>
                <w:rFonts w:cs="Calibri"/>
                <w:b/>
                <w:bCs/>
                <w:szCs w:val="20"/>
                <w:lang w:val="pt-PT"/>
              </w:rPr>
              <w:t xml:space="preserve"> da Lei</w:t>
            </w:r>
          </w:p>
        </w:tc>
        <w:tc>
          <w:tcPr>
            <w:tcW w:w="4945" w:type="dxa"/>
            <w:shd w:val="clear" w:color="auto" w:fill="002060"/>
          </w:tcPr>
          <w:p w14:paraId="65BADF30" w14:textId="77777777" w:rsidR="008D3495" w:rsidRDefault="00035C06">
            <w:pPr>
              <w:ind w:left="144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>3. Acha que a medida proposta responde ao desafio identificado?  (Inserir o RESUMO da contribuição)</w:t>
            </w:r>
          </w:p>
        </w:tc>
      </w:tr>
      <w:tr w:rsidR="008D3495" w14:paraId="65BADF33" w14:textId="77777777">
        <w:trPr>
          <w:trHeight w:val="316"/>
          <w:jc w:val="center"/>
        </w:trPr>
        <w:tc>
          <w:tcPr>
            <w:tcW w:w="13585" w:type="dxa"/>
            <w:gridSpan w:val="5"/>
            <w:shd w:val="clear" w:color="auto" w:fill="CCC0D9" w:themeFill="accent4" w:themeFillTint="66"/>
          </w:tcPr>
          <w:p w14:paraId="65BADF32" w14:textId="77777777" w:rsidR="008D3495" w:rsidRDefault="00035C06">
            <w:pPr>
              <w:ind w:left="144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lastRenderedPageBreak/>
              <w:t>DISPOSIÇÕES GERAIS</w:t>
            </w:r>
          </w:p>
        </w:tc>
      </w:tr>
      <w:tr w:rsidR="008D3495" w:rsidRPr="004A7443" w14:paraId="65BADF38" w14:textId="77777777">
        <w:trPr>
          <w:trHeight w:val="404"/>
          <w:jc w:val="center"/>
        </w:trPr>
        <w:tc>
          <w:tcPr>
            <w:tcW w:w="2942" w:type="dxa"/>
          </w:tcPr>
          <w:p w14:paraId="65BADF34" w14:textId="77777777" w:rsidR="008D3495" w:rsidRDefault="00035C06">
            <w:pPr>
              <w:ind w:left="144"/>
              <w:rPr>
                <w:rFonts w:cs="Calibri"/>
                <w:bCs/>
                <w:szCs w:val="20"/>
                <w:lang w:val="pt-PT"/>
              </w:rPr>
            </w:pPr>
            <w:r>
              <w:rPr>
                <w:rFonts w:cs="Calibri"/>
                <w:bCs/>
                <w:szCs w:val="20"/>
                <w:lang w:val="pt-PT"/>
              </w:rPr>
              <w:t>A Lei do Ambiente pelo tempo de aprovação não aborda questões actuais que são de relevo e estão intimamente ligadas aos aspectos ambientais tornando-se desactualizada.</w:t>
            </w:r>
          </w:p>
        </w:tc>
        <w:tc>
          <w:tcPr>
            <w:tcW w:w="5670" w:type="dxa"/>
            <w:gridSpan w:val="2"/>
          </w:tcPr>
          <w:p w14:paraId="65BADF35" w14:textId="651B9639" w:rsidR="008D3495" w:rsidRDefault="00035C06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bCs/>
                <w:szCs w:val="20"/>
                <w:lang w:val="pt-PT"/>
              </w:rPr>
              <w:t xml:space="preserve">Introduz-se </w:t>
            </w:r>
            <w:r w:rsidR="00741518">
              <w:rPr>
                <w:rFonts w:cs="Calibri"/>
                <w:bCs/>
                <w:szCs w:val="20"/>
                <w:lang w:val="pt-PT"/>
              </w:rPr>
              <w:t>nas</w:t>
            </w:r>
            <w:r>
              <w:rPr>
                <w:rFonts w:cs="Calibri"/>
                <w:bCs/>
                <w:szCs w:val="20"/>
                <w:lang w:val="pt-PT"/>
              </w:rPr>
              <w:t xml:space="preserve"> disposições gerais aspectos leigados às mudanças climáticas para incluir no objecto, âmbito e princípios as questões sobre mudanças climáticas que são assuntos</w:t>
            </w:r>
            <w:r w:rsidR="00741518">
              <w:rPr>
                <w:rFonts w:cs="Calibri"/>
                <w:bCs/>
                <w:szCs w:val="20"/>
                <w:lang w:val="pt-PT"/>
              </w:rPr>
              <w:t>.</w:t>
            </w:r>
          </w:p>
          <w:p w14:paraId="65BADF36" w14:textId="77777777" w:rsidR="008D3495" w:rsidRDefault="00035C06">
            <w:pPr>
              <w:pStyle w:val="ListParagraph"/>
              <w:numPr>
                <w:ilvl w:val="0"/>
                <w:numId w:val="1"/>
              </w:numPr>
              <w:rPr>
                <w:rFonts w:cs="Calibri"/>
                <w:bCs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Incluem-se princípios sobre Mudanças climáticas permitindo a adopção de medidas de mitigação e adaptação alinhadas com a protecção e gestão ambiental sustentável</w:t>
            </w:r>
            <w:r>
              <w:rPr>
                <w:rFonts w:cs="Calibri"/>
                <w:bCs/>
                <w:szCs w:val="20"/>
                <w:lang w:val="pt-PT"/>
              </w:rPr>
              <w:t xml:space="preserve"> actuais.</w:t>
            </w:r>
          </w:p>
        </w:tc>
        <w:tc>
          <w:tcPr>
            <w:tcW w:w="4973" w:type="dxa"/>
            <w:gridSpan w:val="2"/>
          </w:tcPr>
          <w:p w14:paraId="65BADF37" w14:textId="77777777" w:rsidR="008D3495" w:rsidRDefault="008D3495">
            <w:pPr>
              <w:ind w:left="144"/>
              <w:jc w:val="center"/>
              <w:rPr>
                <w:rFonts w:cs="Calibri"/>
                <w:b/>
                <w:bCs/>
                <w:sz w:val="24"/>
                <w:szCs w:val="20"/>
                <w:lang w:val="pt-PT"/>
              </w:rPr>
            </w:pPr>
          </w:p>
        </w:tc>
      </w:tr>
      <w:tr w:rsidR="008D3495" w14:paraId="65BADF3A" w14:textId="77777777">
        <w:trPr>
          <w:trHeight w:val="404"/>
          <w:jc w:val="center"/>
        </w:trPr>
        <w:tc>
          <w:tcPr>
            <w:tcW w:w="13585" w:type="dxa"/>
            <w:gridSpan w:val="5"/>
            <w:shd w:val="clear" w:color="auto" w:fill="CCC0D9" w:themeFill="accent4" w:themeFillTint="66"/>
          </w:tcPr>
          <w:p w14:paraId="65BADF39" w14:textId="77777777" w:rsidR="008D3495" w:rsidRDefault="00035C06">
            <w:pPr>
              <w:ind w:left="144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t>QUADRO INSTITUCIONAL</w:t>
            </w:r>
          </w:p>
        </w:tc>
      </w:tr>
      <w:tr w:rsidR="008D3495" w:rsidRPr="004A7443" w14:paraId="65BADF46" w14:textId="77777777">
        <w:trPr>
          <w:trHeight w:val="20"/>
          <w:jc w:val="center"/>
        </w:trPr>
        <w:tc>
          <w:tcPr>
            <w:tcW w:w="2965" w:type="dxa"/>
            <w:gridSpan w:val="2"/>
          </w:tcPr>
          <w:p w14:paraId="65BADF3B" w14:textId="77777777" w:rsidR="008D3495" w:rsidRDefault="00035C06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Com a revisão da Constituição da República (2004, 2018) e a introdução do processo de descentralização e desconcentração, a Lei do Ambiente desactualizada, adoptando uma abordagem centralizada no processo de gestão ambiental. O n.º 2 do Artigo 90 da CRM destaca que o Estado e as autarquias locais adoptam políticas de defesa do Ambiente. </w:t>
            </w:r>
          </w:p>
          <w:p w14:paraId="65BADF3C" w14:textId="77BE985E" w:rsidR="008D3495" w:rsidRDefault="00035C06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A Lei do Ambiente apenas faz </w:t>
            </w:r>
            <w:r w:rsidR="00B21D2D">
              <w:rPr>
                <w:rFonts w:cs="Calibri"/>
                <w:sz w:val="20"/>
                <w:szCs w:val="20"/>
                <w:lang w:val="pt-PT"/>
              </w:rPr>
              <w:t>referência</w:t>
            </w:r>
            <w:r>
              <w:rPr>
                <w:rFonts w:cs="Calibri"/>
                <w:sz w:val="20"/>
                <w:szCs w:val="20"/>
                <w:lang w:val="pt-PT"/>
              </w:rPr>
              <w:t xml:space="preserve"> às funções do Governo e não abarca as autarquias locais.</w:t>
            </w:r>
          </w:p>
          <w:p w14:paraId="65BADF3D" w14:textId="77777777" w:rsidR="008D3495" w:rsidRDefault="008D3495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  <w:gridSpan w:val="2"/>
          </w:tcPr>
          <w:p w14:paraId="65BADF3E" w14:textId="77777777" w:rsidR="008D3495" w:rsidRDefault="00035C06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Definem-se funções do Governo e incluem-se funções para as entidades descentralizadas incluindo as autarquias locais.</w:t>
            </w:r>
          </w:p>
          <w:p w14:paraId="65BADF3F" w14:textId="77777777" w:rsidR="008D3495" w:rsidRDefault="00035C06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Mantem-se o papel e relevância do CONDES.</w:t>
            </w:r>
          </w:p>
          <w:p w14:paraId="65BADF40" w14:textId="77777777" w:rsidR="008D3495" w:rsidRDefault="00035C06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Inclui-se norma sobre as associações de defesa do ambiente conforme a CRM as menciona.</w:t>
            </w:r>
          </w:p>
          <w:p w14:paraId="65BADF41" w14:textId="77777777" w:rsidR="008D3495" w:rsidRDefault="00035C06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Introduz-se o preceito de cooperação internacional considerando que os esforços para prevenção e protecção ambiental e adopção de boas práticas para lidar com as alterações climáticas devem ser regionais e internacionais, criando-se sinergias para garantir uma gestão global integral das questões ambientais e climáticas.</w:t>
            </w:r>
          </w:p>
          <w:p w14:paraId="65BADF42" w14:textId="77777777" w:rsidR="008D3495" w:rsidRDefault="00035C06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Num mundo cada vez mais digitalizado,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introduz-ze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 xml:space="preserve"> a previsão do estabelecimento de plataformas  digitais de gestão ambiental para garantir maior eficácia nas respostas às questões ambientais e climáticas.</w:t>
            </w:r>
          </w:p>
          <w:p w14:paraId="65BADF43" w14:textId="77777777" w:rsidR="008D3495" w:rsidRDefault="00035C06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Estabelece-se um sistema de informação ambiental</w:t>
            </w:r>
          </w:p>
          <w:p w14:paraId="65BADF44" w14:textId="77777777" w:rsidR="008D3495" w:rsidRDefault="008D3495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65BADF45" w14:textId="77777777" w:rsidR="008D3495" w:rsidRDefault="008D3495">
            <w:pPr>
              <w:rPr>
                <w:rFonts w:cs="Calibri"/>
                <w:szCs w:val="20"/>
                <w:lang w:val="pt-PT"/>
              </w:rPr>
            </w:pPr>
          </w:p>
        </w:tc>
      </w:tr>
      <w:tr w:rsidR="008D3495" w14:paraId="65BADF4C" w14:textId="77777777">
        <w:trPr>
          <w:trHeight w:val="20"/>
          <w:jc w:val="center"/>
        </w:trPr>
        <w:tc>
          <w:tcPr>
            <w:tcW w:w="13585" w:type="dxa"/>
            <w:gridSpan w:val="5"/>
            <w:shd w:val="clear" w:color="auto" w:fill="B2A1C7" w:themeFill="accent4" w:themeFillTint="99"/>
          </w:tcPr>
          <w:p w14:paraId="65BADF4B" w14:textId="77777777" w:rsidR="008D3495" w:rsidRDefault="00035C06">
            <w:pPr>
              <w:jc w:val="center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b/>
                <w:bCs/>
                <w:szCs w:val="20"/>
                <w:lang w:val="pt-PT"/>
              </w:rPr>
              <w:lastRenderedPageBreak/>
              <w:t>PARTICIPAÇÃO PÚBLICA</w:t>
            </w:r>
          </w:p>
        </w:tc>
      </w:tr>
      <w:tr w:rsidR="008D3495" w:rsidRPr="004A7443" w14:paraId="65BADF53" w14:textId="77777777">
        <w:trPr>
          <w:trHeight w:val="20"/>
          <w:jc w:val="center"/>
        </w:trPr>
        <w:tc>
          <w:tcPr>
            <w:tcW w:w="2965" w:type="dxa"/>
            <w:gridSpan w:val="2"/>
          </w:tcPr>
          <w:p w14:paraId="65BADF4D" w14:textId="77777777" w:rsidR="008D3495" w:rsidRDefault="00035C06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A CRM introduz o </w:t>
            </w:r>
            <w:proofErr w:type="gramStart"/>
            <w:r>
              <w:rPr>
                <w:rFonts w:cs="Calibri"/>
                <w:sz w:val="20"/>
                <w:szCs w:val="20"/>
                <w:lang w:val="pt-PT"/>
              </w:rPr>
              <w:t>principio</w:t>
            </w:r>
            <w:proofErr w:type="gramEnd"/>
            <w:r>
              <w:rPr>
                <w:rFonts w:cs="Calibri"/>
                <w:sz w:val="20"/>
                <w:szCs w:val="20"/>
                <w:lang w:val="pt-PT"/>
              </w:rPr>
              <w:t xml:space="preserve"> da colaboração entre o Estado, as autarquias locais e as associações de defesa do ambiente.</w:t>
            </w:r>
          </w:p>
        </w:tc>
        <w:tc>
          <w:tcPr>
            <w:tcW w:w="5675" w:type="dxa"/>
            <w:gridSpan w:val="2"/>
          </w:tcPr>
          <w:p w14:paraId="65BADF4E" w14:textId="77777777" w:rsidR="008D3495" w:rsidRDefault="00035C06">
            <w:pPr>
              <w:pStyle w:val="ListParagraph3"/>
              <w:numPr>
                <w:ilvl w:val="0"/>
                <w:numId w:val="3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Visando garantir a participação de todas as partes interessadas e afectadas no processo de  tomada de decisão relativas às actividades com impacto ambiental, introduz-se um capítulo que  aborda sobre a Participação Pública na gestão ambiental e questões ambientais.</w:t>
            </w:r>
          </w:p>
          <w:p w14:paraId="65BADF4F" w14:textId="77777777" w:rsidR="008D3495" w:rsidRDefault="00035C06">
            <w:pPr>
              <w:pStyle w:val="ListParagraph3"/>
              <w:numPr>
                <w:ilvl w:val="0"/>
                <w:numId w:val="3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Introduz-se o conceito de consentimento livre, prévio e informado impondo-se que as partes interessadas e afectadas tenham acesso a correcta informação para garantir decisões consentâneas e uma gestão ambiental transparente.</w:t>
            </w:r>
          </w:p>
          <w:p w14:paraId="65BADF50" w14:textId="77777777" w:rsidR="008D3495" w:rsidRDefault="008D3495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65BADF51" w14:textId="77777777" w:rsidR="008D3495" w:rsidRDefault="00035C06">
            <w:pPr>
              <w:pStyle w:val="ListParagraph3"/>
              <w:numPr>
                <w:ilvl w:val="0"/>
                <w:numId w:val="3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Introduz-se o dever de prestação de informação periódica sobre o estado do ambiente por parte do Governo.</w:t>
            </w:r>
          </w:p>
        </w:tc>
        <w:tc>
          <w:tcPr>
            <w:tcW w:w="4945" w:type="dxa"/>
          </w:tcPr>
          <w:p w14:paraId="65BADF52" w14:textId="77777777" w:rsidR="008D3495" w:rsidRDefault="008D3495">
            <w:pPr>
              <w:ind w:left="0"/>
              <w:rPr>
                <w:rFonts w:cs="Calibri"/>
                <w:szCs w:val="20"/>
                <w:lang w:val="pt-PT"/>
              </w:rPr>
            </w:pPr>
          </w:p>
        </w:tc>
      </w:tr>
      <w:tr w:rsidR="008D3495" w14:paraId="65BADF55" w14:textId="77777777">
        <w:trPr>
          <w:trHeight w:val="20"/>
          <w:jc w:val="center"/>
        </w:trPr>
        <w:tc>
          <w:tcPr>
            <w:tcW w:w="13585" w:type="dxa"/>
            <w:gridSpan w:val="5"/>
            <w:shd w:val="clear" w:color="auto" w:fill="B2A1C7" w:themeFill="accent4" w:themeFillTint="99"/>
          </w:tcPr>
          <w:p w14:paraId="65BADF54" w14:textId="77777777" w:rsidR="008D3495" w:rsidRDefault="00035C06">
            <w:pPr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PROTECÇÃO DO AMBIENTE</w:t>
            </w:r>
          </w:p>
        </w:tc>
      </w:tr>
      <w:tr w:rsidR="008D3495" w:rsidRPr="004A7443" w14:paraId="65BADF61" w14:textId="77777777">
        <w:trPr>
          <w:trHeight w:val="1305"/>
          <w:jc w:val="center"/>
        </w:trPr>
        <w:tc>
          <w:tcPr>
            <w:tcW w:w="2942" w:type="dxa"/>
          </w:tcPr>
          <w:p w14:paraId="65BADF56" w14:textId="77777777" w:rsidR="008D3495" w:rsidRDefault="00035C06">
            <w:pPr>
              <w:pStyle w:val="ListParagraph"/>
              <w:numPr>
                <w:ilvl w:val="0"/>
                <w:numId w:val="4"/>
              </w:numPr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 xml:space="preserve">A Lei do Ambiente estabelece o capítulo de Poluição do Ambiente. Este capítulo parece ser restritivo considerando que existem diferentes acções capazes de gerar impactos negativos sobre o meio ambiente ou sobre as alterações climáticas citando a degradação ambiental com destaque para a perda da </w:t>
            </w:r>
            <w:r>
              <w:rPr>
                <w:rFonts w:cs="Calibri"/>
                <w:szCs w:val="20"/>
                <w:lang w:val="pt-PT"/>
              </w:rPr>
              <w:lastRenderedPageBreak/>
              <w:t>biodiversidade, crescimento urbano desordenado, entre outros.</w:t>
            </w:r>
          </w:p>
          <w:p w14:paraId="65BADF57" w14:textId="77777777" w:rsidR="008D3495" w:rsidRDefault="00035C06">
            <w:pPr>
              <w:pStyle w:val="ListParagraph"/>
              <w:numPr>
                <w:ilvl w:val="0"/>
                <w:numId w:val="4"/>
              </w:numPr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A Lei do Ambiente define o capítulo sobre medidas especiais de protecção do ambiente. Este capítulo regula basicamente sobre as medidas de prevenção de dano ambiental sem abordar a questão da precaução de dano ambiental.</w:t>
            </w:r>
          </w:p>
        </w:tc>
        <w:tc>
          <w:tcPr>
            <w:tcW w:w="5670" w:type="dxa"/>
            <w:gridSpan w:val="2"/>
          </w:tcPr>
          <w:p w14:paraId="65BADF59" w14:textId="385948B1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lastRenderedPageBreak/>
              <w:t xml:space="preserve">Introduz-se o capítulo sobre protecção do ambiente que aglutina questões sobre poluição e prevenção de dano ambiental, estabelecendo-se  3 secções: </w:t>
            </w:r>
          </w:p>
          <w:p w14:paraId="65BADF5A" w14:textId="77777777" w:rsidR="008D3495" w:rsidRDefault="00035C06">
            <w:pPr>
              <w:pStyle w:val="ListParagraph"/>
              <w:numPr>
                <w:ilvl w:val="0"/>
                <w:numId w:val="5"/>
              </w:numPr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integram-se os aspectos sobre a  protecção do património ambiental, com destaque para a garantia de protecção dos ecossistemas e da biodiversidade,  regulação de medidas de proibição da poluição, regulação das subcomponentes ambientais de maior preocupação.</w:t>
            </w:r>
          </w:p>
          <w:p w14:paraId="65BADF5B" w14:textId="77777777" w:rsidR="008D3495" w:rsidRDefault="00035C06">
            <w:pPr>
              <w:pStyle w:val="ListParagraph"/>
              <w:numPr>
                <w:ilvl w:val="0"/>
                <w:numId w:val="5"/>
              </w:numPr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Regula-se o princípio de Prevenção de dano ambiental, adoptando-se normas que desenvolvem os instrumentos de prevenção.</w:t>
            </w:r>
          </w:p>
          <w:p w14:paraId="65BADF5C" w14:textId="77777777" w:rsidR="008D3495" w:rsidRDefault="00035C06">
            <w:pPr>
              <w:pStyle w:val="ListParagraph"/>
              <w:numPr>
                <w:ilvl w:val="0"/>
                <w:numId w:val="5"/>
              </w:numPr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lastRenderedPageBreak/>
              <w:t>Adopta-se a secção sobre precaução ambiental com medida de garantia de evitar os riscos de danos ambientais irreversíveis.</w:t>
            </w:r>
          </w:p>
          <w:p w14:paraId="65BADF5D" w14:textId="77777777" w:rsidR="008D3495" w:rsidRDefault="00035C06">
            <w:pPr>
              <w:pStyle w:val="ListParagraph"/>
              <w:numPr>
                <w:ilvl w:val="0"/>
                <w:numId w:val="5"/>
              </w:numPr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Introduz-se o conceito de Nenhuma perda Líquida e a necessidade de se fazerem contrabalanços.</w:t>
            </w:r>
          </w:p>
          <w:p w14:paraId="65BADF5E" w14:textId="74FCB9AA" w:rsidR="008D3495" w:rsidRDefault="00035C06">
            <w:pPr>
              <w:pStyle w:val="ListParagraph"/>
              <w:numPr>
                <w:ilvl w:val="0"/>
                <w:numId w:val="5"/>
              </w:numPr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 xml:space="preserve">Adapta-se um articulado sobre Declaração de zonas </w:t>
            </w:r>
            <w:r w:rsidR="00085465">
              <w:rPr>
                <w:rFonts w:cs="Calibri"/>
                <w:szCs w:val="20"/>
                <w:lang w:val="pt-PT"/>
              </w:rPr>
              <w:t>críticas</w:t>
            </w:r>
            <w:r>
              <w:rPr>
                <w:rFonts w:cs="Calibri"/>
                <w:szCs w:val="20"/>
                <w:lang w:val="pt-PT"/>
              </w:rPr>
              <w:t xml:space="preserve"> como forma de avaliar a qualidade do ambiente.</w:t>
            </w:r>
          </w:p>
          <w:p w14:paraId="65BADF5F" w14:textId="77777777" w:rsidR="008D3495" w:rsidRDefault="008D3495">
            <w:pPr>
              <w:pStyle w:val="ListParagraph"/>
              <w:rPr>
                <w:rFonts w:cs="Calibri"/>
                <w:szCs w:val="20"/>
                <w:lang w:val="pt-PT"/>
              </w:rPr>
            </w:pPr>
          </w:p>
        </w:tc>
        <w:tc>
          <w:tcPr>
            <w:tcW w:w="4973" w:type="dxa"/>
            <w:gridSpan w:val="2"/>
          </w:tcPr>
          <w:p w14:paraId="65BADF60" w14:textId="77777777" w:rsidR="008D3495" w:rsidRDefault="008D3495">
            <w:pPr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</w:tr>
      <w:tr w:rsidR="008D3495" w14:paraId="65BADF63" w14:textId="77777777">
        <w:trPr>
          <w:trHeight w:val="283"/>
          <w:jc w:val="center"/>
        </w:trPr>
        <w:tc>
          <w:tcPr>
            <w:tcW w:w="13585" w:type="dxa"/>
            <w:gridSpan w:val="5"/>
            <w:shd w:val="clear" w:color="auto" w:fill="B2A1C7" w:themeFill="accent4" w:themeFillTint="99"/>
          </w:tcPr>
          <w:p w14:paraId="65BADF62" w14:textId="77777777" w:rsidR="008D3495" w:rsidRDefault="00035C06">
            <w:pPr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MUDANÇAS CLIMÁTICAS</w:t>
            </w:r>
          </w:p>
        </w:tc>
      </w:tr>
      <w:tr w:rsidR="008D3495" w:rsidRPr="004A7443" w14:paraId="65BADF6D" w14:textId="77777777" w:rsidTr="004A7443">
        <w:trPr>
          <w:trHeight w:val="4220"/>
          <w:jc w:val="center"/>
        </w:trPr>
        <w:tc>
          <w:tcPr>
            <w:tcW w:w="2942" w:type="dxa"/>
          </w:tcPr>
          <w:p w14:paraId="65BADF64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lastRenderedPageBreak/>
              <w:t xml:space="preserve">Conforme se disse acima, a Lei do Ambiente em vigor não regula sobre as questões das mudanças climáticas. </w:t>
            </w:r>
          </w:p>
          <w:p w14:paraId="65BADF65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Com os eventos climáticos crescentes e os impactos negativos que se assistem pelo mundo com grande intensidade para Moçambique torna-se imperioso adoptar regulação sobre a matéria.</w:t>
            </w:r>
          </w:p>
        </w:tc>
        <w:tc>
          <w:tcPr>
            <w:tcW w:w="5670" w:type="dxa"/>
            <w:gridSpan w:val="2"/>
          </w:tcPr>
          <w:p w14:paraId="65BADF66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Capítulo Novo e Matéria Nova</w:t>
            </w:r>
          </w:p>
          <w:p w14:paraId="65BADF67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Aborda-se a questão sobre mudanças climáticas com incidência nas medidas de Mitigação e Adaptação.</w:t>
            </w:r>
          </w:p>
          <w:p w14:paraId="65BADF68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 xml:space="preserve">Regula-se sobre a necessidade de aprovação de planos de e instrumentos de mitigação e adaptação. </w:t>
            </w:r>
          </w:p>
          <w:p w14:paraId="65BADF69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Aborda-se sobre a gestão de gases de efeito de estufa, remetendo para o Governo a responsabilidade de aprovar as normas que estabeleçam os limites a serem emitidos pelos produtores a nível nacional.</w:t>
            </w:r>
          </w:p>
          <w:p w14:paraId="65BADF6B" w14:textId="727D63D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Preveem-se regras para a regulação dos certificados de redução ou absorção de gases de efeito de estufa, remetendo para o Governo a responsabilidade de aprovar normas para a sua operacionalização.</w:t>
            </w:r>
          </w:p>
        </w:tc>
        <w:tc>
          <w:tcPr>
            <w:tcW w:w="4973" w:type="dxa"/>
            <w:gridSpan w:val="2"/>
          </w:tcPr>
          <w:p w14:paraId="65BADF6C" w14:textId="77777777" w:rsidR="008D3495" w:rsidRDefault="008D3495">
            <w:pPr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</w:tr>
      <w:tr w:rsidR="008D3495" w14:paraId="65BADF6F" w14:textId="77777777">
        <w:trPr>
          <w:trHeight w:val="493"/>
          <w:jc w:val="center"/>
        </w:trPr>
        <w:tc>
          <w:tcPr>
            <w:tcW w:w="13585" w:type="dxa"/>
            <w:gridSpan w:val="5"/>
            <w:shd w:val="clear" w:color="auto" w:fill="B2A1C7" w:themeFill="accent4" w:themeFillTint="99"/>
          </w:tcPr>
          <w:p w14:paraId="65BADF6E" w14:textId="77777777" w:rsidR="008D3495" w:rsidRDefault="00035C06">
            <w:pPr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DIREITOS E DEVERES</w:t>
            </w:r>
          </w:p>
        </w:tc>
      </w:tr>
      <w:tr w:rsidR="008D3495" w:rsidRPr="004A7443" w14:paraId="65BADF76" w14:textId="77777777">
        <w:trPr>
          <w:trHeight w:val="4423"/>
          <w:jc w:val="center"/>
        </w:trPr>
        <w:tc>
          <w:tcPr>
            <w:tcW w:w="2942" w:type="dxa"/>
          </w:tcPr>
          <w:p w14:paraId="65BADF70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lastRenderedPageBreak/>
              <w:t>A Lei do Ambiente estabelece direitos e deveres que se impõem sobre os cidadãos em geral para garantir a protecção e a defesa do meio ambiental.</w:t>
            </w:r>
          </w:p>
          <w:p w14:paraId="65BADF71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Existem questões de preocupação que não encontram resposta cabal na aplicação da lei no exercício dos direitos ambientais regulados na Lei, citando como exemplo a figura de Embargo Ambiental, não se complementando os procedimentos para a sua efectivação.</w:t>
            </w:r>
          </w:p>
          <w:p w14:paraId="65BADF72" w14:textId="77777777" w:rsidR="008D3495" w:rsidRDefault="008D3495">
            <w:pPr>
              <w:ind w:left="0"/>
              <w:rPr>
                <w:rFonts w:cs="Calibri"/>
                <w:szCs w:val="20"/>
                <w:lang w:val="pt-PT"/>
              </w:rPr>
            </w:pPr>
          </w:p>
        </w:tc>
        <w:tc>
          <w:tcPr>
            <w:tcW w:w="5670" w:type="dxa"/>
            <w:gridSpan w:val="2"/>
          </w:tcPr>
          <w:p w14:paraId="65BADF73" w14:textId="2354EE6D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 xml:space="preserve">A nova proposta de Lei </w:t>
            </w:r>
            <w:r w:rsidR="00085465">
              <w:rPr>
                <w:rFonts w:cs="Calibri"/>
                <w:szCs w:val="20"/>
                <w:lang w:val="pt-PT"/>
              </w:rPr>
              <w:t>mantém</w:t>
            </w:r>
            <w:r>
              <w:rPr>
                <w:rFonts w:cs="Calibri"/>
                <w:szCs w:val="20"/>
                <w:lang w:val="pt-PT"/>
              </w:rPr>
              <w:t xml:space="preserve"> em geral as normas sobre direitos e deveres estabelecidas na Lei em vigor, introduzindo-se 3 novos direitos, nomeadamente: </w:t>
            </w:r>
            <w:r>
              <w:rPr>
                <w:rFonts w:cs="Calibri"/>
                <w:i/>
                <w:szCs w:val="20"/>
                <w:lang w:val="pt-PT"/>
              </w:rPr>
              <w:t>direito ao ambiente e clima equilibrado, direito de participação e direito de acesso aos benefícios dos recursos naturais</w:t>
            </w:r>
            <w:r>
              <w:rPr>
                <w:rFonts w:cs="Calibri"/>
                <w:szCs w:val="20"/>
                <w:lang w:val="pt-PT"/>
              </w:rPr>
              <w:t>.</w:t>
            </w:r>
          </w:p>
          <w:p w14:paraId="65BADF74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Introduz-se igualmente a prorrogativa do cidadão requer o embargo de uma actividade, bem como a obrigação de participar uma infracção.</w:t>
            </w:r>
          </w:p>
        </w:tc>
        <w:tc>
          <w:tcPr>
            <w:tcW w:w="4973" w:type="dxa"/>
            <w:gridSpan w:val="2"/>
          </w:tcPr>
          <w:p w14:paraId="65BADF75" w14:textId="77777777" w:rsidR="008D3495" w:rsidRDefault="008D3495">
            <w:pPr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</w:tr>
      <w:tr w:rsidR="008D3495" w:rsidRPr="004A7443" w14:paraId="65BADF78" w14:textId="77777777">
        <w:trPr>
          <w:trHeight w:val="439"/>
          <w:jc w:val="center"/>
        </w:trPr>
        <w:tc>
          <w:tcPr>
            <w:tcW w:w="13585" w:type="dxa"/>
            <w:gridSpan w:val="5"/>
            <w:shd w:val="clear" w:color="auto" w:fill="B2A1C7" w:themeFill="accent4" w:themeFillTint="99"/>
          </w:tcPr>
          <w:p w14:paraId="65BADF77" w14:textId="77777777" w:rsidR="008D3495" w:rsidRDefault="00035C06">
            <w:pPr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MEDIDAS FINANCEIRAS E INSTRUMENTOS ECONÓMICOS</w:t>
            </w:r>
          </w:p>
        </w:tc>
      </w:tr>
      <w:tr w:rsidR="008D3495" w:rsidRPr="004A7443" w14:paraId="65BADF7F" w14:textId="77777777">
        <w:trPr>
          <w:trHeight w:val="3006"/>
          <w:jc w:val="center"/>
        </w:trPr>
        <w:tc>
          <w:tcPr>
            <w:tcW w:w="2942" w:type="dxa"/>
          </w:tcPr>
          <w:p w14:paraId="65BADF79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lastRenderedPageBreak/>
              <w:t>A actual Lei do Ambiente não prevê medidas sobre o financiamento  e arrecadação de receitas para o sector ambiental, o que dificulta  a contabilização e canalização de fundos para garantir o reforço das acções de protecção e gestão ambiental a diferentes níveis. Não é regulada também a questão do pagamento pelos serviços ambientais nem normas sobre a criação de incentivos e mecanismos para garantir a economia ambiental circular ou a abordagem sobre a economia verde.</w:t>
            </w:r>
          </w:p>
        </w:tc>
        <w:tc>
          <w:tcPr>
            <w:tcW w:w="5670" w:type="dxa"/>
            <w:gridSpan w:val="2"/>
          </w:tcPr>
          <w:p w14:paraId="65BADF7A" w14:textId="4C89B1B2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 xml:space="preserve">Estabelece-se </w:t>
            </w:r>
            <w:proofErr w:type="gramStart"/>
            <w:r>
              <w:rPr>
                <w:rFonts w:cs="Calibri"/>
                <w:szCs w:val="20"/>
                <w:lang w:val="pt-PT"/>
              </w:rPr>
              <w:t xml:space="preserve">uma </w:t>
            </w:r>
            <w:r w:rsidR="00085465">
              <w:rPr>
                <w:rFonts w:cs="Calibri"/>
                <w:szCs w:val="20"/>
                <w:lang w:val="pt-PT"/>
              </w:rPr>
              <w:t>capítulo</w:t>
            </w:r>
            <w:proofErr w:type="gramEnd"/>
            <w:r>
              <w:rPr>
                <w:rFonts w:cs="Calibri"/>
                <w:szCs w:val="20"/>
                <w:lang w:val="pt-PT"/>
              </w:rPr>
              <w:t xml:space="preserve"> que aborda sobre a necessidade de investimento público na protecção ambiental através do orçamento do Estado, bem como a definição de taxas a aplicar pelos serviços ambientais a serem definidas pelo Governo.</w:t>
            </w:r>
          </w:p>
          <w:p w14:paraId="65BADF7B" w14:textId="3ADD360E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Cria-se o Fundo do Ambiente co</w:t>
            </w:r>
            <w:r w:rsidR="00085465">
              <w:rPr>
                <w:rFonts w:cs="Calibri"/>
                <w:szCs w:val="20"/>
                <w:lang w:val="pt-PT"/>
              </w:rPr>
              <w:t xml:space="preserve">m </w:t>
            </w:r>
            <w:r>
              <w:rPr>
                <w:rFonts w:cs="Calibri"/>
                <w:szCs w:val="20"/>
                <w:lang w:val="pt-PT"/>
              </w:rPr>
              <w:t xml:space="preserve">vista a financiar as actividades de gestão ambiental </w:t>
            </w:r>
          </w:p>
          <w:p w14:paraId="65BADF7C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Definem-se neste capítulo instrumentos económicos ambientais que visam contabilizar e estabelecer mecanismos para garantir a compensação ambiental, seja financeira seja material através dos contrabalanços da biodiversidade decorrente dos impactos ambientais residuais decorrentes das actividades conforme regulado por lei.</w:t>
            </w:r>
          </w:p>
          <w:p w14:paraId="65BADF7D" w14:textId="77777777" w:rsidR="008D3495" w:rsidRDefault="008D3495">
            <w:pPr>
              <w:ind w:left="0"/>
              <w:rPr>
                <w:rFonts w:cs="Calibri"/>
                <w:szCs w:val="20"/>
                <w:lang w:val="pt-PT"/>
              </w:rPr>
            </w:pPr>
          </w:p>
        </w:tc>
        <w:tc>
          <w:tcPr>
            <w:tcW w:w="4973" w:type="dxa"/>
            <w:gridSpan w:val="2"/>
          </w:tcPr>
          <w:p w14:paraId="65BADF7E" w14:textId="77777777" w:rsidR="008D3495" w:rsidRDefault="008D3495">
            <w:pPr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</w:tr>
      <w:tr w:rsidR="008D3495" w14:paraId="65BADF81" w14:textId="77777777">
        <w:trPr>
          <w:trHeight w:val="398"/>
          <w:jc w:val="center"/>
        </w:trPr>
        <w:tc>
          <w:tcPr>
            <w:tcW w:w="13585" w:type="dxa"/>
            <w:gridSpan w:val="5"/>
            <w:shd w:val="clear" w:color="auto" w:fill="B2A1C7" w:themeFill="accent4" w:themeFillTint="99"/>
          </w:tcPr>
          <w:p w14:paraId="65BADF80" w14:textId="77777777" w:rsidR="008D3495" w:rsidRDefault="00035C06">
            <w:pPr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FISCALIZAÇÃO AMBIENTAL</w:t>
            </w:r>
          </w:p>
        </w:tc>
      </w:tr>
      <w:tr w:rsidR="008D3495" w:rsidRPr="004A7443" w14:paraId="65BADF86" w14:textId="77777777">
        <w:trPr>
          <w:trHeight w:val="398"/>
          <w:jc w:val="center"/>
        </w:trPr>
        <w:tc>
          <w:tcPr>
            <w:tcW w:w="2942" w:type="dxa"/>
          </w:tcPr>
          <w:p w14:paraId="65BADF82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A fiscalização ambiental encontra dificuldades na implementação e aplicação da Lei não obstante existirem instrumentos para a penalização das infracções ambientais.</w:t>
            </w:r>
          </w:p>
          <w:p w14:paraId="65BADF83" w14:textId="77777777" w:rsidR="008D3495" w:rsidRDefault="008D3495">
            <w:pPr>
              <w:ind w:left="0"/>
              <w:rPr>
                <w:rFonts w:cs="Calibri"/>
                <w:szCs w:val="20"/>
                <w:lang w:val="pt-PT"/>
              </w:rPr>
            </w:pPr>
          </w:p>
        </w:tc>
        <w:tc>
          <w:tcPr>
            <w:tcW w:w="5670" w:type="dxa"/>
            <w:gridSpan w:val="2"/>
          </w:tcPr>
          <w:p w14:paraId="65BADF84" w14:textId="1F5020BB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 xml:space="preserve">A Lei em proposta </w:t>
            </w:r>
            <w:r w:rsidR="00D269BE">
              <w:rPr>
                <w:rFonts w:cs="Calibri"/>
                <w:szCs w:val="20"/>
                <w:lang w:val="pt-PT"/>
              </w:rPr>
              <w:t>mantém</w:t>
            </w:r>
            <w:r>
              <w:rPr>
                <w:rFonts w:cs="Calibri"/>
                <w:szCs w:val="20"/>
                <w:lang w:val="pt-PT"/>
              </w:rPr>
              <w:t xml:space="preserve"> a estrutura anterior. Compreende-se que há necessidade de reforçar os mecanismos de aplicação da lei principalmente na questão da responsabilização pelos danos ambientais e pelo cumprimento da Lei.</w:t>
            </w:r>
          </w:p>
        </w:tc>
        <w:tc>
          <w:tcPr>
            <w:tcW w:w="4973" w:type="dxa"/>
            <w:gridSpan w:val="2"/>
          </w:tcPr>
          <w:p w14:paraId="65BADF85" w14:textId="77777777" w:rsidR="008D3495" w:rsidRDefault="008D3495">
            <w:pPr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</w:tr>
      <w:tr w:rsidR="008D3495" w14:paraId="65BADF88" w14:textId="77777777">
        <w:trPr>
          <w:trHeight w:val="398"/>
          <w:jc w:val="center"/>
        </w:trPr>
        <w:tc>
          <w:tcPr>
            <w:tcW w:w="13585" w:type="dxa"/>
            <w:gridSpan w:val="5"/>
            <w:shd w:val="clear" w:color="auto" w:fill="B2A1C7" w:themeFill="accent4" w:themeFillTint="99"/>
          </w:tcPr>
          <w:p w14:paraId="65BADF87" w14:textId="77777777" w:rsidR="008D3495" w:rsidRDefault="00035C06">
            <w:pPr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RESPOPNSABILIDADE, INFRACÇÕES E SANÇÕES</w:t>
            </w:r>
          </w:p>
        </w:tc>
      </w:tr>
      <w:tr w:rsidR="008D3495" w:rsidRPr="004A7443" w14:paraId="65BADF8F" w14:textId="77777777">
        <w:trPr>
          <w:trHeight w:val="398"/>
          <w:jc w:val="center"/>
        </w:trPr>
        <w:tc>
          <w:tcPr>
            <w:tcW w:w="2942" w:type="dxa"/>
          </w:tcPr>
          <w:p w14:paraId="65BADF89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lastRenderedPageBreak/>
              <w:t>A Lei do Ambiente em vigor estabelece como medidas para garantir a responsabilização por danos ambientais a responsabilidade objectiva, o seguro de responsabilidade civil, os crimes e contravenções ambientais.</w:t>
            </w:r>
          </w:p>
          <w:p w14:paraId="65BADF8A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 xml:space="preserve">Há o entendimento de que os institutos previstos na lei não são complementados e não têm o alcance esperado de garantir a responsabilização dos causadores de dano ambiental, seja por culpa ou por negligência, satisfazendo o </w:t>
            </w:r>
            <w:proofErr w:type="gramStart"/>
            <w:r>
              <w:rPr>
                <w:rFonts w:cs="Calibri"/>
                <w:szCs w:val="20"/>
                <w:lang w:val="pt-PT"/>
              </w:rPr>
              <w:t>principio</w:t>
            </w:r>
            <w:proofErr w:type="gramEnd"/>
            <w:r>
              <w:rPr>
                <w:rFonts w:cs="Calibri"/>
                <w:szCs w:val="20"/>
                <w:lang w:val="pt-PT"/>
              </w:rPr>
              <w:t xml:space="preserve"> do poluidor –pagador e garantindo a reposição ou medidas de compensação pelos danos gerados ao meio ambiente.</w:t>
            </w:r>
          </w:p>
        </w:tc>
        <w:tc>
          <w:tcPr>
            <w:tcW w:w="5670" w:type="dxa"/>
            <w:gridSpan w:val="2"/>
          </w:tcPr>
          <w:p w14:paraId="65BADF8B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 xml:space="preserve">A proposta de Lei do Ambiente mantem a questão de responsabilidade objectiva, como corolário de responsabilização pelos danos ambientais independentemente da culpa. </w:t>
            </w:r>
          </w:p>
          <w:p w14:paraId="65BADF8C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Estabelece-se a figura de garantia financeira que vem abarcar para além do seguro de responsabilidade ambiental (civil) vai regular outras formas de garantir a cobertura financeira pelos riscos de dano ambiental por parte dos operadores de actividade. A matéria será objecto de complementaridade através de regulamentação pelo Governo.</w:t>
            </w:r>
          </w:p>
          <w:p w14:paraId="65BADF8D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 xml:space="preserve">Quanto à questão dos crimes contra o ambiente deve-se destacar que o Código Penal em vigor aborda sobre os crimes contra o ambiente (CP- Título III, Capítulo II – </w:t>
            </w:r>
            <w:proofErr w:type="spellStart"/>
            <w:r>
              <w:rPr>
                <w:rFonts w:cs="Calibri"/>
                <w:szCs w:val="20"/>
                <w:lang w:val="pt-PT"/>
              </w:rPr>
              <w:t>Arts</w:t>
            </w:r>
            <w:proofErr w:type="spellEnd"/>
            <w:r>
              <w:rPr>
                <w:rFonts w:cs="Calibri"/>
                <w:szCs w:val="20"/>
                <w:lang w:val="pt-PT"/>
              </w:rPr>
              <w:t xml:space="preserve">. 314 e </w:t>
            </w:r>
            <w:proofErr w:type="spellStart"/>
            <w:r>
              <w:rPr>
                <w:rFonts w:cs="Calibri"/>
                <w:szCs w:val="20"/>
                <w:lang w:val="pt-PT"/>
              </w:rPr>
              <w:t>ss</w:t>
            </w:r>
            <w:proofErr w:type="spellEnd"/>
            <w:r>
              <w:rPr>
                <w:rFonts w:cs="Calibri"/>
                <w:szCs w:val="20"/>
                <w:lang w:val="pt-PT"/>
              </w:rPr>
              <w:t>).</w:t>
            </w:r>
          </w:p>
        </w:tc>
        <w:tc>
          <w:tcPr>
            <w:tcW w:w="4973" w:type="dxa"/>
            <w:gridSpan w:val="2"/>
          </w:tcPr>
          <w:p w14:paraId="65BADF8E" w14:textId="77777777" w:rsidR="008D3495" w:rsidRDefault="008D3495">
            <w:pPr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</w:tr>
      <w:tr w:rsidR="008D3495" w14:paraId="65BADF91" w14:textId="77777777">
        <w:trPr>
          <w:trHeight w:val="398"/>
          <w:jc w:val="center"/>
        </w:trPr>
        <w:tc>
          <w:tcPr>
            <w:tcW w:w="13585" w:type="dxa"/>
            <w:gridSpan w:val="5"/>
            <w:shd w:val="clear" w:color="auto" w:fill="B2A1C7" w:themeFill="accent4" w:themeFillTint="99"/>
          </w:tcPr>
          <w:p w14:paraId="65BADF90" w14:textId="77777777" w:rsidR="008D3495" w:rsidRDefault="00035C06">
            <w:pPr>
              <w:jc w:val="center"/>
              <w:rPr>
                <w:rFonts w:cs="Calibri"/>
                <w:b/>
                <w:szCs w:val="20"/>
                <w:lang w:val="pt-PT"/>
              </w:rPr>
            </w:pPr>
            <w:r>
              <w:rPr>
                <w:rFonts w:cs="Calibri"/>
                <w:b/>
                <w:szCs w:val="20"/>
                <w:lang w:val="pt-PT"/>
              </w:rPr>
              <w:t>DISPOSIÇÕES FINAIS</w:t>
            </w:r>
          </w:p>
        </w:tc>
      </w:tr>
      <w:tr w:rsidR="008D3495" w:rsidRPr="004A7443" w14:paraId="65BADF97" w14:textId="77777777">
        <w:trPr>
          <w:trHeight w:val="398"/>
          <w:jc w:val="center"/>
        </w:trPr>
        <w:tc>
          <w:tcPr>
            <w:tcW w:w="2942" w:type="dxa"/>
          </w:tcPr>
          <w:p w14:paraId="65BADF92" w14:textId="2B7ECCCA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 xml:space="preserve">A Lei do ambiente em vigor aborda neste capítulo sobre Incentivos, bem como sobre legislação sectorial na qual se impõe a necessidade de adequação desta legislação à </w:t>
            </w:r>
            <w:r>
              <w:rPr>
                <w:rFonts w:cs="Calibri"/>
                <w:szCs w:val="20"/>
                <w:lang w:val="pt-PT"/>
              </w:rPr>
              <w:lastRenderedPageBreak/>
              <w:t xml:space="preserve">actual lei do ambiente. No entanto nota-se algum desenquadramento sectorial na </w:t>
            </w:r>
            <w:proofErr w:type="spellStart"/>
            <w:r>
              <w:rPr>
                <w:rFonts w:cs="Calibri"/>
                <w:szCs w:val="20"/>
                <w:lang w:val="pt-PT"/>
              </w:rPr>
              <w:t>regulaçãoo</w:t>
            </w:r>
            <w:proofErr w:type="spellEnd"/>
            <w:r>
              <w:rPr>
                <w:rFonts w:cs="Calibri"/>
                <w:szCs w:val="20"/>
                <w:lang w:val="pt-PT"/>
              </w:rPr>
              <w:t xml:space="preserve"> das matérias e componentes ambientais, o que leva a dispersão de competências na gestão e protecção do ambiente havendo necessidade de uniformização da regulação.</w:t>
            </w:r>
          </w:p>
        </w:tc>
        <w:tc>
          <w:tcPr>
            <w:tcW w:w="5670" w:type="dxa"/>
            <w:gridSpan w:val="2"/>
          </w:tcPr>
          <w:p w14:paraId="65BADF93" w14:textId="77777777" w:rsidR="008D3495" w:rsidRDefault="00035C06">
            <w:pPr>
              <w:ind w:left="0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lastRenderedPageBreak/>
              <w:t>A proposta de Lei do ambiente apresenta como matéria das disposições finais a necessidade de investir na pesquisa e investigação garantindo a melhoria do conhecimento e das tecnologias na gestão e tratamento das questões relativas ao meio ambiente e mudanças climáticas.</w:t>
            </w:r>
          </w:p>
          <w:p w14:paraId="65BADF94" w14:textId="77777777" w:rsidR="008D3495" w:rsidRDefault="008D3495">
            <w:pPr>
              <w:ind w:left="0"/>
              <w:rPr>
                <w:rFonts w:cs="Calibri"/>
                <w:szCs w:val="20"/>
                <w:lang w:val="pt-PT"/>
              </w:rPr>
            </w:pPr>
          </w:p>
          <w:p w14:paraId="65BADF95" w14:textId="77777777" w:rsidR="008D3495" w:rsidRDefault="008D3495">
            <w:pPr>
              <w:ind w:left="0"/>
              <w:rPr>
                <w:rFonts w:cs="Calibri"/>
                <w:szCs w:val="20"/>
                <w:lang w:val="pt-PT"/>
              </w:rPr>
            </w:pPr>
          </w:p>
        </w:tc>
        <w:tc>
          <w:tcPr>
            <w:tcW w:w="4973" w:type="dxa"/>
            <w:gridSpan w:val="2"/>
          </w:tcPr>
          <w:p w14:paraId="65BADF96" w14:textId="77777777" w:rsidR="008D3495" w:rsidRDefault="008D3495">
            <w:pPr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</w:tr>
    </w:tbl>
    <w:p w14:paraId="65BADF98" w14:textId="77777777" w:rsidR="008D3495" w:rsidRDefault="008D3495">
      <w:pPr>
        <w:rPr>
          <w:lang w:val="pt-PT"/>
        </w:rPr>
      </w:pPr>
    </w:p>
    <w:sectPr w:rsidR="008D3495">
      <w:footerReference w:type="even" r:id="rId8"/>
      <w:footerReference w:type="default" r:id="rId9"/>
      <w:pgSz w:w="16820" w:h="11900" w:orient="landscape"/>
      <w:pgMar w:top="1134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01AC" w14:textId="77777777" w:rsidR="004D6CDF" w:rsidRDefault="004D6CDF">
      <w:pPr>
        <w:spacing w:line="240" w:lineRule="auto"/>
      </w:pPr>
      <w:r>
        <w:separator/>
      </w:r>
    </w:p>
  </w:endnote>
  <w:endnote w:type="continuationSeparator" w:id="0">
    <w:p w14:paraId="06AA60CC" w14:textId="77777777" w:rsidR="004D6CDF" w:rsidRDefault="004D6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DF9F" w14:textId="77777777" w:rsidR="008D3495" w:rsidRDefault="00035C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ADFA0" w14:textId="77777777" w:rsidR="008D3495" w:rsidRDefault="008D34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9458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BADFA2" w14:textId="35ED50C0" w:rsidR="008D3495" w:rsidRPr="00571F95" w:rsidRDefault="00571F95" w:rsidP="00571F95">
            <w:pPr>
              <w:pStyle w:val="Footer"/>
              <w:jc w:val="right"/>
            </w:pPr>
            <w:proofErr w:type="spellStart"/>
            <w:r w:rsidRPr="00920CFA">
              <w:t>Pág</w:t>
            </w:r>
            <w:proofErr w:type="spellEnd"/>
            <w:r w:rsidRPr="00920CFA">
              <w:t xml:space="preserve">. </w:t>
            </w:r>
            <w:r w:rsidRPr="00920CFA">
              <w:rPr>
                <w:sz w:val="24"/>
              </w:rPr>
              <w:fldChar w:fldCharType="begin"/>
            </w:r>
            <w:r w:rsidRPr="00920CFA">
              <w:instrText xml:space="preserve"> PAGE </w:instrText>
            </w:r>
            <w:r w:rsidRPr="00920CFA">
              <w:rPr>
                <w:sz w:val="24"/>
              </w:rPr>
              <w:fldChar w:fldCharType="separate"/>
            </w:r>
            <w:r>
              <w:rPr>
                <w:sz w:val="24"/>
              </w:rPr>
              <w:t>1</w:t>
            </w:r>
            <w:r w:rsidRPr="00920CFA">
              <w:rPr>
                <w:sz w:val="24"/>
              </w:rPr>
              <w:fldChar w:fldCharType="end"/>
            </w:r>
            <w:r w:rsidRPr="00920CFA">
              <w:t xml:space="preserve"> / </w:t>
            </w:r>
            <w:fldSimple w:instr=" NUMPAGES  ">
              <w:r>
                <w:rPr>
                  <w:sz w:val="24"/>
                </w:rPr>
                <w:t>11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6799" w14:textId="77777777" w:rsidR="004D6CDF" w:rsidRDefault="004D6CDF">
      <w:pPr>
        <w:spacing w:before="0" w:after="0" w:line="240" w:lineRule="auto"/>
      </w:pPr>
      <w:r>
        <w:separator/>
      </w:r>
    </w:p>
  </w:footnote>
  <w:footnote w:type="continuationSeparator" w:id="0">
    <w:p w14:paraId="10EC821E" w14:textId="77777777" w:rsidR="004D6CDF" w:rsidRDefault="004D6CDF">
      <w:pPr>
        <w:spacing w:before="0" w:after="0" w:line="240" w:lineRule="auto"/>
      </w:pPr>
      <w:r>
        <w:continuationSeparator/>
      </w:r>
    </w:p>
  </w:footnote>
  <w:footnote w:id="1">
    <w:p w14:paraId="772B80BE" w14:textId="77777777" w:rsidR="004A7443" w:rsidRPr="00B91150" w:rsidRDefault="004A7443" w:rsidP="004A744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Instituição Pública, Sociedade Civil, Sector Privado, Academia, Comunidades</w:t>
      </w:r>
    </w:p>
  </w:footnote>
  <w:footnote w:id="2">
    <w:p w14:paraId="5AF6EE6F" w14:textId="77777777" w:rsidR="004A7443" w:rsidRPr="00A64435" w:rsidRDefault="004A7443" w:rsidP="004A744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Caso seja um grupo, indicar todos os nomes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043B"/>
    <w:multiLevelType w:val="multilevel"/>
    <w:tmpl w:val="145E043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A278D"/>
    <w:multiLevelType w:val="multilevel"/>
    <w:tmpl w:val="207A27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4BDE"/>
    <w:multiLevelType w:val="multilevel"/>
    <w:tmpl w:val="2D874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011E83"/>
    <w:multiLevelType w:val="multilevel"/>
    <w:tmpl w:val="3D011E83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lowerLetter"/>
      <w:lvlText w:val="%2."/>
      <w:lvlJc w:val="left"/>
      <w:pPr>
        <w:ind w:left="1584" w:hanging="360"/>
      </w:pPr>
    </w:lvl>
    <w:lvl w:ilvl="2">
      <w:start w:val="1"/>
      <w:numFmt w:val="lowerRoman"/>
      <w:lvlText w:val="%3."/>
      <w:lvlJc w:val="right"/>
      <w:pPr>
        <w:ind w:left="2304" w:hanging="180"/>
      </w:pPr>
    </w:lvl>
    <w:lvl w:ilvl="3">
      <w:start w:val="1"/>
      <w:numFmt w:val="decimal"/>
      <w:lvlText w:val="%4."/>
      <w:lvlJc w:val="left"/>
      <w:pPr>
        <w:ind w:left="3024" w:hanging="360"/>
      </w:pPr>
    </w:lvl>
    <w:lvl w:ilvl="4">
      <w:start w:val="1"/>
      <w:numFmt w:val="lowerLetter"/>
      <w:lvlText w:val="%5."/>
      <w:lvlJc w:val="left"/>
      <w:pPr>
        <w:ind w:left="3744" w:hanging="360"/>
      </w:pPr>
    </w:lvl>
    <w:lvl w:ilvl="5">
      <w:start w:val="1"/>
      <w:numFmt w:val="lowerRoman"/>
      <w:lvlText w:val="%6."/>
      <w:lvlJc w:val="right"/>
      <w:pPr>
        <w:ind w:left="4464" w:hanging="180"/>
      </w:pPr>
    </w:lvl>
    <w:lvl w:ilvl="6">
      <w:start w:val="1"/>
      <w:numFmt w:val="decimal"/>
      <w:lvlText w:val="%7."/>
      <w:lvlJc w:val="left"/>
      <w:pPr>
        <w:ind w:left="5184" w:hanging="360"/>
      </w:pPr>
    </w:lvl>
    <w:lvl w:ilvl="7">
      <w:start w:val="1"/>
      <w:numFmt w:val="lowerLetter"/>
      <w:lvlText w:val="%8."/>
      <w:lvlJc w:val="left"/>
      <w:pPr>
        <w:ind w:left="5904" w:hanging="360"/>
      </w:pPr>
    </w:lvl>
    <w:lvl w:ilvl="8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5836468A"/>
    <w:multiLevelType w:val="multilevel"/>
    <w:tmpl w:val="58364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D4421"/>
    <w:multiLevelType w:val="multilevel"/>
    <w:tmpl w:val="5F0D44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154742">
    <w:abstractNumId w:val="3"/>
  </w:num>
  <w:num w:numId="2" w16cid:durableId="1139418239">
    <w:abstractNumId w:val="5"/>
  </w:num>
  <w:num w:numId="3" w16cid:durableId="1512256581">
    <w:abstractNumId w:val="4"/>
  </w:num>
  <w:num w:numId="4" w16cid:durableId="718826795">
    <w:abstractNumId w:val="2"/>
  </w:num>
  <w:num w:numId="5" w16cid:durableId="1986280478">
    <w:abstractNumId w:val="1"/>
  </w:num>
  <w:num w:numId="6" w16cid:durableId="110808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3D"/>
    <w:rsid w:val="00035C06"/>
    <w:rsid w:val="00085465"/>
    <w:rsid w:val="00137542"/>
    <w:rsid w:val="001C6AD3"/>
    <w:rsid w:val="001C787F"/>
    <w:rsid w:val="001D12C7"/>
    <w:rsid w:val="00202D62"/>
    <w:rsid w:val="00205B53"/>
    <w:rsid w:val="00214498"/>
    <w:rsid w:val="002639EC"/>
    <w:rsid w:val="00274A5E"/>
    <w:rsid w:val="003605DA"/>
    <w:rsid w:val="00361E11"/>
    <w:rsid w:val="003D7967"/>
    <w:rsid w:val="003F19FB"/>
    <w:rsid w:val="003F247E"/>
    <w:rsid w:val="004506F6"/>
    <w:rsid w:val="004A7443"/>
    <w:rsid w:val="004B09EB"/>
    <w:rsid w:val="004D6CDF"/>
    <w:rsid w:val="005002DA"/>
    <w:rsid w:val="0054643F"/>
    <w:rsid w:val="00571511"/>
    <w:rsid w:val="00571F95"/>
    <w:rsid w:val="00590632"/>
    <w:rsid w:val="005B3B66"/>
    <w:rsid w:val="005C11A9"/>
    <w:rsid w:val="006617DD"/>
    <w:rsid w:val="00694677"/>
    <w:rsid w:val="006C4A5D"/>
    <w:rsid w:val="006C786D"/>
    <w:rsid w:val="006D73A9"/>
    <w:rsid w:val="006E6919"/>
    <w:rsid w:val="00725BC7"/>
    <w:rsid w:val="00727F72"/>
    <w:rsid w:val="00741518"/>
    <w:rsid w:val="00751033"/>
    <w:rsid w:val="00765E5B"/>
    <w:rsid w:val="00767F85"/>
    <w:rsid w:val="008278AA"/>
    <w:rsid w:val="008804FA"/>
    <w:rsid w:val="008D3495"/>
    <w:rsid w:val="00914178"/>
    <w:rsid w:val="00947C4F"/>
    <w:rsid w:val="0097590D"/>
    <w:rsid w:val="00AC44C5"/>
    <w:rsid w:val="00AE1C77"/>
    <w:rsid w:val="00AF2AA5"/>
    <w:rsid w:val="00B02E3D"/>
    <w:rsid w:val="00B21D2D"/>
    <w:rsid w:val="00B369E3"/>
    <w:rsid w:val="00B409AC"/>
    <w:rsid w:val="00BD637A"/>
    <w:rsid w:val="00BF319D"/>
    <w:rsid w:val="00CC228F"/>
    <w:rsid w:val="00D269BE"/>
    <w:rsid w:val="00D516F9"/>
    <w:rsid w:val="00D702FE"/>
    <w:rsid w:val="00D9535A"/>
    <w:rsid w:val="00DC6435"/>
    <w:rsid w:val="00E3179E"/>
    <w:rsid w:val="00E342A4"/>
    <w:rsid w:val="00E51BDB"/>
    <w:rsid w:val="00EE5900"/>
    <w:rsid w:val="00F1156E"/>
    <w:rsid w:val="00F94A52"/>
    <w:rsid w:val="5B57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ADF27"/>
  <w14:defaultImageDpi w14:val="300"/>
  <w15:docId w15:val="{A21231A0-2A87-4F60-83FF-18ECB054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80" w:lineRule="atLeast"/>
      <w:ind w:left="432"/>
      <w:jc w:val="both"/>
    </w:pPr>
    <w:rPr>
      <w:rFonts w:ascii="Calibri" w:eastAsiaTheme="minorHAnsi" w:hAnsi="Calibri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before="0"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spacing w:line="270" w:lineRule="atLeast"/>
    </w:pPr>
    <w:rPr>
      <w:rFonts w:ascii="Times New Roman" w:eastAsia="Times New Roman" w:hAnsi="Times New Roman" w:cs="Times New Roman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autoRedefine/>
    <w:uiPriority w:val="99"/>
    <w:unhideWhenUsed/>
    <w:qFormat/>
    <w:pPr>
      <w:spacing w:before="0" w:after="0" w:line="276" w:lineRule="auto"/>
      <w:ind w:left="0"/>
      <w:jc w:val="left"/>
    </w:pPr>
    <w:rPr>
      <w:rFonts w:ascii="Arial" w:eastAsia="Calibri" w:hAnsi="Arial" w:cs="Times New Roman"/>
      <w:kern w:val="0"/>
      <w:sz w:val="22"/>
      <w:szCs w:val="22"/>
      <w:lang w:val="es-CO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eastAsiaTheme="minorHAnsi" w:hAnsi="Lucida Grande" w:cs="Lucida Grande"/>
      <w:kern w:val="2"/>
      <w:sz w:val="18"/>
      <w:szCs w:val="18"/>
      <w:lang w:val="en-US"/>
      <w14:ligatures w14:val="standardContextual"/>
    </w:rPr>
  </w:style>
  <w:style w:type="paragraph" w:customStyle="1" w:styleId="ListParagraph3">
    <w:name w:val="List Paragraph3"/>
    <w:basedOn w:val="Normal"/>
    <w:uiPriority w:val="34"/>
    <w:qFormat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paragraph" w:styleId="ListParagraph">
    <w:name w:val="List Paragraph"/>
    <w:aliases w:val="List bullets nivel1,List Paragraph-ExecSummary,Medium Grid 1 - Accent 21,Paragraphe de liste1,Numbered paragraph,List Paragraph1,Paragraphe de liste,List Paragraph11,Bullet Points,Liste Paragraf,Citation List,List Bullet-OpsManual,Graphic"/>
    <w:basedOn w:val="Normal"/>
    <w:link w:val="ListParagraphChar"/>
    <w:uiPriority w:val="99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Theme="minorHAnsi" w:hAnsi="Calibri"/>
      <w:kern w:val="2"/>
      <w:sz w:val="20"/>
      <w:lang w:val="en-US"/>
      <w14:ligatures w14:val="standardContextual"/>
    </w:rPr>
  </w:style>
  <w:style w:type="paragraph" w:customStyle="1" w:styleId="ListParagraph4">
    <w:name w:val="List Paragraph4"/>
    <w:basedOn w:val="Normal"/>
    <w:uiPriority w:val="34"/>
    <w:qFormat/>
    <w:rsid w:val="004A7443"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ListParagraphChar">
    <w:name w:val="List Paragraph Char"/>
    <w:aliases w:val="List bullets nivel1 Char,List Paragraph-ExecSummary Char,Medium Grid 1 - Accent 21 Char,Paragraphe de liste1 Char,Numbered paragraph Char,List Paragraph1 Char,Paragraphe de liste Char,List Paragraph11 Char,Bullet Points Char"/>
    <w:basedOn w:val="DefaultParagraphFont"/>
    <w:link w:val="ListParagraph"/>
    <w:uiPriority w:val="99"/>
    <w:qFormat/>
    <w:locked/>
    <w:rsid w:val="004A7443"/>
    <w:rPr>
      <w:rFonts w:ascii="Calibri" w:eastAsiaTheme="minorHAnsi" w:hAnsi="Calibri"/>
      <w:kern w:val="2"/>
      <w:szCs w:val="24"/>
      <w14:ligatures w14:val="standardContextual"/>
    </w:rPr>
  </w:style>
  <w:style w:type="character" w:styleId="FootnoteReference">
    <w:name w:val="footnote reference"/>
    <w:rsid w:val="004A7443"/>
    <w:rPr>
      <w:vertAlign w:val="superscript"/>
    </w:rPr>
  </w:style>
  <w:style w:type="paragraph" w:styleId="FootnoteText">
    <w:name w:val="footnote text"/>
    <w:basedOn w:val="Normal"/>
    <w:link w:val="FootnoteTextChar"/>
    <w:rsid w:val="004A7443"/>
    <w:pPr>
      <w:snapToGrid w:val="0"/>
      <w:spacing w:before="0" w:after="200" w:line="276" w:lineRule="auto"/>
      <w:ind w:left="0"/>
      <w:jc w:val="left"/>
    </w:pPr>
    <w:rPr>
      <w:rFonts w:eastAsia="SimSun" w:cs="Times New Roman"/>
      <w:kern w:val="0"/>
      <w:sz w:val="18"/>
      <w:szCs w:val="18"/>
      <w:lang w:val="pt-PT" w:eastAsia="pt-PT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A7443"/>
    <w:rPr>
      <w:rFonts w:ascii="Calibri" w:eastAsia="SimSun" w:hAnsi="Calibri" w:cs="Times New Roman"/>
      <w:sz w:val="18"/>
      <w:szCs w:val="18"/>
      <w:lang w:val="pt-PT" w:eastAsia="pt-PT"/>
    </w:rPr>
  </w:style>
  <w:style w:type="paragraph" w:styleId="Header">
    <w:name w:val="header"/>
    <w:basedOn w:val="Normal"/>
    <w:link w:val="HeaderChar"/>
    <w:uiPriority w:val="99"/>
    <w:unhideWhenUsed/>
    <w:rsid w:val="00571F9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95"/>
    <w:rPr>
      <w:rFonts w:ascii="Calibri" w:eastAsiaTheme="minorHAnsi" w:hAnsi="Calibr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1910</Words>
  <Characters>10315</Characters>
  <Application>Microsoft Office Word</Application>
  <DocSecurity>0</DocSecurity>
  <Lines>85</Lines>
  <Paragraphs>24</Paragraphs>
  <ScaleCrop>false</ScaleCrop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Jose</dc:creator>
  <cp:lastModifiedBy>VILELA DE SOUSA</cp:lastModifiedBy>
  <cp:revision>2</cp:revision>
  <dcterms:created xsi:type="dcterms:W3CDTF">2025-10-24T10:20:00Z</dcterms:created>
  <dcterms:modified xsi:type="dcterms:W3CDTF">2025-10-24T10:20:00Z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9B4C61B2F20E44E4A33D50D5505DE144_12</vt:lpwstr>
  </property>
</Properties>
</file>