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3723C" w14:textId="77777777" w:rsidR="002617CF" w:rsidRDefault="00000000">
      <w:pPr>
        <w:spacing w:before="0" w:after="0" w:line="240" w:lineRule="auto"/>
        <w:jc w:val="center"/>
        <w:rPr>
          <w:rFonts w:cs="Calibri"/>
          <w:sz w:val="22"/>
          <w:szCs w:val="22"/>
        </w:rPr>
      </w:pPr>
      <w:r>
        <w:rPr>
          <w:rFonts w:eastAsia="SimSun" w:cs="Calibri"/>
          <w:noProof/>
          <w:sz w:val="22"/>
          <w:szCs w:val="22"/>
          <w:lang w:val="pt-PT" w:eastAsia="pt-PT"/>
        </w:rPr>
        <w:drawing>
          <wp:inline distT="0" distB="0" distL="114300" distR="114300" wp14:anchorId="78B37392" wp14:editId="78B37393">
            <wp:extent cx="1059815" cy="1022985"/>
            <wp:effectExtent l="0" t="0" r="6985" b="18415"/>
            <wp:docPr id="2" name="Picture 1" descr="REPUBLICA DE M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REPUBLICA DE MZ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9815" cy="1022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8B3723D" w14:textId="77777777" w:rsidR="002617CF" w:rsidRDefault="00000000">
      <w:pPr>
        <w:spacing w:before="0" w:after="0" w:line="240" w:lineRule="auto"/>
        <w:jc w:val="center"/>
        <w:rPr>
          <w:rFonts w:cs="Calibri"/>
          <w:b/>
          <w:bCs/>
          <w:sz w:val="22"/>
          <w:szCs w:val="22"/>
          <w:lang w:val="pt-PT"/>
        </w:rPr>
      </w:pPr>
      <w:r>
        <w:rPr>
          <w:rFonts w:cs="Calibri"/>
          <w:b/>
          <w:bCs/>
          <w:sz w:val="22"/>
          <w:szCs w:val="22"/>
          <w:lang w:val="pt-PT"/>
        </w:rPr>
        <w:t>REPÚBLICA DE MOÇAMBIQUE</w:t>
      </w:r>
    </w:p>
    <w:p w14:paraId="78B3723E" w14:textId="77777777" w:rsidR="002617CF" w:rsidRDefault="00000000">
      <w:pPr>
        <w:spacing w:before="0" w:after="0" w:line="240" w:lineRule="auto"/>
        <w:jc w:val="center"/>
        <w:rPr>
          <w:rFonts w:cs="Calibri"/>
          <w:b/>
          <w:bCs/>
          <w:sz w:val="22"/>
          <w:szCs w:val="22"/>
          <w:lang w:val="pt-PT"/>
        </w:rPr>
      </w:pPr>
      <w:r>
        <w:rPr>
          <w:rFonts w:cs="Calibri"/>
          <w:b/>
          <w:bCs/>
          <w:sz w:val="22"/>
          <w:szCs w:val="22"/>
          <w:lang w:val="pt-PT"/>
        </w:rPr>
        <w:t>MINISTÉRIO DA AGRICULTURA, AMBIENTE E PESCAS</w:t>
      </w:r>
    </w:p>
    <w:p w14:paraId="78B3723F" w14:textId="77777777" w:rsidR="002617CF" w:rsidRDefault="00000000">
      <w:pPr>
        <w:spacing w:before="0" w:after="0" w:line="240" w:lineRule="auto"/>
        <w:jc w:val="center"/>
        <w:rPr>
          <w:rFonts w:cs="Calibri"/>
          <w:b/>
          <w:bCs/>
          <w:sz w:val="22"/>
          <w:szCs w:val="22"/>
          <w:lang w:val="pt-PT"/>
        </w:rPr>
      </w:pPr>
      <w:r>
        <w:rPr>
          <w:rFonts w:cs="Calibri"/>
          <w:b/>
          <w:bCs/>
          <w:sz w:val="22"/>
          <w:szCs w:val="22"/>
          <w:lang w:val="pt-PT"/>
        </w:rPr>
        <w:t>COMISSÃO DE REVISÃO DA POLÍTICA E LEI DO AMBIENTE</w:t>
      </w:r>
    </w:p>
    <w:p w14:paraId="78B37240" w14:textId="77777777" w:rsidR="002617CF" w:rsidRDefault="002617CF">
      <w:pPr>
        <w:spacing w:before="0" w:after="0" w:line="240" w:lineRule="auto"/>
        <w:jc w:val="center"/>
        <w:rPr>
          <w:rFonts w:cs="Calibri"/>
          <w:b/>
          <w:bCs/>
          <w:sz w:val="22"/>
          <w:szCs w:val="22"/>
          <w:lang w:val="pt-PT"/>
        </w:rPr>
      </w:pPr>
    </w:p>
    <w:p w14:paraId="78B37241" w14:textId="77777777" w:rsidR="002617CF" w:rsidRDefault="00000000">
      <w:pPr>
        <w:spacing w:before="0" w:after="0" w:line="240" w:lineRule="auto"/>
        <w:jc w:val="center"/>
        <w:rPr>
          <w:rFonts w:cs="Calibri"/>
          <w:b/>
          <w:bCs/>
          <w:sz w:val="22"/>
          <w:szCs w:val="22"/>
          <w:lang w:val="pt-PT"/>
        </w:rPr>
      </w:pPr>
      <w:r>
        <w:rPr>
          <w:rFonts w:cs="Calibri"/>
          <w:b/>
          <w:bCs/>
          <w:sz w:val="22"/>
          <w:szCs w:val="22"/>
          <w:lang w:val="pt-PT"/>
        </w:rPr>
        <w:t>CONSULTA PÚBLICA DO DRAFT “0” DO ANTE-PROJECTO DA POLÍTICA NACIONAL E LEI DO AMBIENTE</w:t>
      </w:r>
    </w:p>
    <w:p w14:paraId="78B37242" w14:textId="77777777" w:rsidR="002617CF" w:rsidRDefault="00000000">
      <w:pPr>
        <w:spacing w:before="0" w:after="0" w:line="240" w:lineRule="auto"/>
        <w:jc w:val="center"/>
        <w:rPr>
          <w:rFonts w:cs="Calibri"/>
          <w:b/>
          <w:bCs/>
          <w:sz w:val="22"/>
          <w:szCs w:val="22"/>
          <w:lang w:val="pt-PT"/>
        </w:rPr>
      </w:pPr>
      <w:r>
        <w:rPr>
          <w:rFonts w:cs="Calibri"/>
          <w:b/>
          <w:bCs/>
          <w:sz w:val="22"/>
          <w:szCs w:val="22"/>
          <w:lang w:val="pt-PT"/>
        </w:rPr>
        <w:t>MATRIZ DE CONTRIBUIÇÕES</w:t>
      </w:r>
    </w:p>
    <w:p w14:paraId="78B37243" w14:textId="77777777" w:rsidR="002617CF" w:rsidRDefault="002617CF">
      <w:pPr>
        <w:spacing w:before="0" w:after="0" w:line="240" w:lineRule="auto"/>
        <w:jc w:val="center"/>
        <w:rPr>
          <w:rFonts w:cs="Calibri"/>
          <w:b/>
          <w:bCs/>
          <w:sz w:val="22"/>
          <w:szCs w:val="22"/>
          <w:lang w:val="pt-PT"/>
        </w:rPr>
      </w:pPr>
    </w:p>
    <w:p w14:paraId="78B37244" w14:textId="77777777" w:rsidR="002617CF" w:rsidRDefault="00000000">
      <w:pPr>
        <w:pBdr>
          <w:bottom w:val="single" w:sz="12" w:space="2" w:color="auto"/>
        </w:pBdr>
        <w:spacing w:after="0" w:line="240" w:lineRule="auto"/>
        <w:rPr>
          <w:rFonts w:eastAsiaTheme="majorEastAsia" w:cs="Calibri"/>
          <w:lang w:val="pt-PT"/>
        </w:rPr>
      </w:pPr>
      <w:r>
        <w:rPr>
          <w:rFonts w:cs="Calibri"/>
          <w:b/>
          <w:bCs/>
          <w:lang w:val="pt-PT"/>
        </w:rPr>
        <w:t>Grupo de Interesse</w:t>
      </w:r>
      <w:r>
        <w:rPr>
          <w:rStyle w:val="FootnoteReference"/>
          <w:rFonts w:cs="Calibri"/>
          <w:b/>
          <w:bCs/>
          <w:lang w:val="pt-PT"/>
        </w:rPr>
        <w:footnoteReference w:id="1"/>
      </w:r>
      <w:r>
        <w:rPr>
          <w:rFonts w:cs="Calibri"/>
          <w:b/>
          <w:bCs/>
          <w:lang w:val="pt-PT"/>
        </w:rPr>
        <w:t>:</w:t>
      </w:r>
      <w:r>
        <w:rPr>
          <w:rFonts w:cs="Calibri"/>
          <w:b/>
          <w:bCs/>
          <w:lang w:val="pt-PT"/>
        </w:rPr>
        <w:tab/>
        <w:t>Academia</w:t>
      </w:r>
      <w:r>
        <w:rPr>
          <w:rFonts w:cs="Calibri"/>
          <w:b/>
          <w:bCs/>
          <w:lang w:val="pt-PT"/>
        </w:rPr>
        <w:tab/>
      </w:r>
      <w:r>
        <w:rPr>
          <w:rFonts w:cs="Calibri"/>
          <w:b/>
          <w:bCs/>
          <w:lang w:val="pt-PT"/>
        </w:rPr>
        <w:tab/>
      </w:r>
      <w:r>
        <w:rPr>
          <w:rFonts w:cs="Calibri"/>
          <w:b/>
          <w:bCs/>
          <w:lang w:val="pt-PT"/>
        </w:rPr>
        <w:tab/>
      </w:r>
      <w:r>
        <w:rPr>
          <w:rFonts w:cs="Calibri"/>
          <w:b/>
          <w:bCs/>
          <w:lang w:val="pt-PT"/>
        </w:rPr>
        <w:tab/>
      </w:r>
      <w:r>
        <w:rPr>
          <w:rFonts w:cs="Calibri"/>
          <w:b/>
          <w:bCs/>
          <w:lang w:val="pt-PT"/>
        </w:rPr>
        <w:tab/>
      </w:r>
    </w:p>
    <w:p w14:paraId="78B37245" w14:textId="77777777" w:rsidR="002617CF" w:rsidRDefault="00000000">
      <w:pPr>
        <w:pStyle w:val="ListParagraph4"/>
        <w:numPr>
          <w:ilvl w:val="0"/>
          <w:numId w:val="1"/>
        </w:numPr>
        <w:spacing w:before="240" w:beforeAutospacing="0" w:after="200" w:line="240" w:lineRule="auto"/>
        <w:jc w:val="both"/>
        <w:rPr>
          <w:rFonts w:eastAsiaTheme="majorEastAsia" w:cs="Calibri"/>
          <w:b/>
          <w:u w:val="single"/>
        </w:rPr>
      </w:pPr>
      <w:r>
        <w:rPr>
          <w:rFonts w:eastAsiaTheme="majorEastAsia" w:cs="Calibri"/>
          <w:b/>
        </w:rPr>
        <w:t>LOCAL DA CONSULTA</w:t>
      </w:r>
    </w:p>
    <w:p w14:paraId="78B37246" w14:textId="20C05D5E" w:rsidR="002617CF" w:rsidRDefault="00000000">
      <w:pPr>
        <w:spacing w:before="0" w:line="240" w:lineRule="auto"/>
        <w:rPr>
          <w:rFonts w:eastAsiaTheme="majorEastAsia" w:cs="Calibri"/>
          <w:lang w:val="pt-PT"/>
        </w:rPr>
      </w:pPr>
      <w:r>
        <w:rPr>
          <w:rFonts w:eastAsiaTheme="majorEastAsia" w:cs="Calibri"/>
          <w:lang w:val="pt-PT"/>
        </w:rPr>
        <w:t>Província:</w:t>
      </w:r>
      <w:r>
        <w:rPr>
          <w:rFonts w:eastAsiaTheme="majorEastAsia" w:cs="Calibri"/>
          <w:lang w:val="pt-PT"/>
        </w:rPr>
        <w:tab/>
      </w:r>
      <w:r w:rsidR="009A5579">
        <w:rPr>
          <w:rFonts w:eastAsiaTheme="majorEastAsia" w:cs="Calibri"/>
          <w:lang w:val="pt-PT"/>
        </w:rPr>
        <w:t>NAMPULA</w:t>
      </w:r>
      <w:r>
        <w:rPr>
          <w:rFonts w:eastAsiaTheme="majorEastAsia" w:cs="Calibri"/>
          <w:lang w:val="pt-PT"/>
        </w:rPr>
        <w:tab/>
      </w:r>
      <w:r>
        <w:rPr>
          <w:rFonts w:eastAsiaTheme="majorEastAsia" w:cs="Calibri"/>
          <w:lang w:val="pt-PT"/>
        </w:rPr>
        <w:tab/>
      </w:r>
      <w:r>
        <w:rPr>
          <w:rFonts w:eastAsiaTheme="majorEastAsia" w:cs="Calibri"/>
          <w:lang w:val="pt-PT"/>
        </w:rPr>
        <w:tab/>
      </w:r>
      <w:r>
        <w:rPr>
          <w:rFonts w:eastAsiaTheme="majorEastAsia" w:cs="Calibri"/>
          <w:lang w:val="pt-PT"/>
        </w:rPr>
        <w:tab/>
      </w:r>
      <w:r>
        <w:rPr>
          <w:rFonts w:eastAsiaTheme="majorEastAsia" w:cs="Calibri"/>
          <w:lang w:val="pt-PT"/>
        </w:rPr>
        <w:tab/>
      </w:r>
      <w:r>
        <w:rPr>
          <w:rFonts w:eastAsiaTheme="majorEastAsia" w:cs="Calibri"/>
          <w:lang w:val="pt-PT"/>
        </w:rPr>
        <w:tab/>
      </w:r>
      <w:r>
        <w:rPr>
          <w:rFonts w:eastAsiaTheme="majorEastAsia" w:cs="Calibri"/>
          <w:lang w:val="pt-PT"/>
        </w:rPr>
        <w:tab/>
      </w:r>
      <w:r>
        <w:rPr>
          <w:rFonts w:eastAsiaTheme="majorEastAsia" w:cs="Calibri"/>
          <w:lang w:val="pt-PT"/>
        </w:rPr>
        <w:tab/>
      </w:r>
      <w:r>
        <w:rPr>
          <w:rFonts w:eastAsiaTheme="majorEastAsia" w:cs="Calibri"/>
          <w:bCs/>
          <w:lang w:val="pt-PT"/>
        </w:rPr>
        <w:t>Data da Sessão/Consulta:</w:t>
      </w:r>
      <w:r>
        <w:rPr>
          <w:rFonts w:eastAsiaTheme="majorEastAsia" w:cs="Calibri"/>
          <w:lang w:val="pt-PT"/>
        </w:rPr>
        <w:t xml:space="preserve"> </w:t>
      </w:r>
      <w:r w:rsidR="009A5579">
        <w:rPr>
          <w:rFonts w:eastAsiaTheme="majorEastAsia" w:cs="Calibri"/>
          <w:lang w:val="pt-PT"/>
        </w:rPr>
        <w:t>02/11/2025</w:t>
      </w:r>
    </w:p>
    <w:p w14:paraId="78B37247" w14:textId="78A04D97" w:rsidR="002617CF" w:rsidRDefault="00000000">
      <w:pPr>
        <w:spacing w:before="0" w:line="240" w:lineRule="auto"/>
        <w:rPr>
          <w:rFonts w:eastAsiaTheme="majorEastAsia" w:cs="Calibri"/>
          <w:u w:val="single"/>
          <w:lang w:val="pt-PT"/>
        </w:rPr>
      </w:pPr>
      <w:r>
        <w:rPr>
          <w:rFonts w:eastAsiaTheme="majorEastAsia" w:cs="Calibri"/>
          <w:lang w:val="pt-PT"/>
        </w:rPr>
        <w:t xml:space="preserve">Cidade/Município/Distrito de:    </w:t>
      </w:r>
      <w:r w:rsidR="009A5579">
        <w:rPr>
          <w:rFonts w:eastAsiaTheme="majorEastAsia" w:cs="Calibri"/>
          <w:lang w:val="pt-PT"/>
        </w:rPr>
        <w:t>NAMPULA</w:t>
      </w:r>
      <w:r>
        <w:rPr>
          <w:rFonts w:eastAsiaTheme="majorEastAsia" w:cs="Calibri"/>
          <w:lang w:val="pt-PT"/>
        </w:rPr>
        <w:t xml:space="preserve">                               </w:t>
      </w:r>
      <w:r>
        <w:rPr>
          <w:rFonts w:eastAsiaTheme="majorEastAsia" w:cs="Calibri"/>
          <w:lang w:val="pt-PT"/>
        </w:rPr>
        <w:tab/>
      </w:r>
      <w:r>
        <w:rPr>
          <w:rFonts w:eastAsiaTheme="majorEastAsia" w:cs="Calibri"/>
          <w:lang w:val="pt-PT"/>
        </w:rPr>
        <w:tab/>
      </w:r>
      <w:r>
        <w:rPr>
          <w:rFonts w:eastAsiaTheme="majorEastAsia" w:cs="Calibri"/>
          <w:lang w:val="pt-PT"/>
        </w:rPr>
        <w:tab/>
      </w:r>
      <w:r>
        <w:rPr>
          <w:rFonts w:eastAsiaTheme="majorEastAsia" w:cs="Calibri"/>
          <w:lang w:val="pt-PT"/>
        </w:rPr>
        <w:tab/>
        <w:t xml:space="preserve">Instituição: </w:t>
      </w:r>
      <w:r w:rsidR="009A5579">
        <w:rPr>
          <w:rFonts w:eastAsiaTheme="majorEastAsia" w:cs="Calibri"/>
          <w:lang w:val="pt-PT"/>
        </w:rPr>
        <w:t>ACADEMIAS</w:t>
      </w:r>
    </w:p>
    <w:p w14:paraId="78B37248" w14:textId="77777777" w:rsidR="002617CF" w:rsidRDefault="002617CF">
      <w:pPr>
        <w:spacing w:before="0" w:after="0" w:line="240" w:lineRule="auto"/>
        <w:rPr>
          <w:rFonts w:eastAsiaTheme="majorEastAsia" w:cs="Calibri"/>
          <w:lang w:val="pt-PT"/>
        </w:rPr>
      </w:pPr>
    </w:p>
    <w:p w14:paraId="78B37249" w14:textId="77777777" w:rsidR="002617CF" w:rsidRDefault="002617CF">
      <w:pPr>
        <w:spacing w:before="0" w:after="0" w:line="240" w:lineRule="auto"/>
        <w:rPr>
          <w:rFonts w:eastAsiaTheme="majorEastAsia" w:cs="Calibri"/>
          <w:lang w:val="pt-PT"/>
        </w:rPr>
      </w:pPr>
    </w:p>
    <w:tbl>
      <w:tblPr>
        <w:tblStyle w:val="TableGrid"/>
        <w:tblpPr w:leftFromText="180" w:rightFromText="180" w:vertAnchor="text" w:horzAnchor="page" w:tblpX="1623" w:tblpY="-261"/>
        <w:tblOverlap w:val="never"/>
        <w:tblW w:w="0" w:type="auto"/>
        <w:tblLook w:val="04A0" w:firstRow="1" w:lastRow="0" w:firstColumn="1" w:lastColumn="0" w:noHBand="0" w:noVBand="1"/>
      </w:tblPr>
      <w:tblGrid>
        <w:gridCol w:w="3114"/>
        <w:gridCol w:w="1114"/>
        <w:gridCol w:w="836"/>
        <w:gridCol w:w="1375"/>
        <w:gridCol w:w="709"/>
        <w:gridCol w:w="1423"/>
        <w:gridCol w:w="709"/>
      </w:tblGrid>
      <w:tr w:rsidR="002617CF" w14:paraId="78B37251" w14:textId="77777777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78B3724A" w14:textId="77777777" w:rsidR="002617CF" w:rsidRDefault="00000000">
            <w:pPr>
              <w:spacing w:before="0"/>
              <w:rPr>
                <w:rFonts w:eastAsiaTheme="majorEastAsia" w:cs="Calibri"/>
                <w:b/>
                <w:kern w:val="0"/>
                <w:szCs w:val="20"/>
                <w14:ligatures w14:val="none"/>
              </w:rPr>
            </w:pPr>
            <w:r>
              <w:rPr>
                <w:rFonts w:eastAsiaTheme="majorEastAsia" w:cs="Calibri"/>
                <w:b/>
                <w:kern w:val="0"/>
                <w:szCs w:val="20"/>
                <w14:ligatures w14:val="none"/>
              </w:rPr>
              <w:t>Número de participantes: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</w:tcBorders>
          </w:tcPr>
          <w:p w14:paraId="78B3724B" w14:textId="77777777" w:rsidR="002617CF" w:rsidRDefault="00000000">
            <w:pPr>
              <w:spacing w:before="0"/>
              <w:rPr>
                <w:rFonts w:eastAsiaTheme="majorEastAsia" w:cs="Calibri"/>
                <w:kern w:val="0"/>
                <w:szCs w:val="20"/>
                <w14:ligatures w14:val="none"/>
              </w:rPr>
            </w:pPr>
            <w:r>
              <w:rPr>
                <w:rFonts w:eastAsiaTheme="majorEastAsia" w:cs="Calibri"/>
                <w:kern w:val="0"/>
                <w:szCs w:val="20"/>
                <w14:ligatures w14:val="none"/>
              </w:rPr>
              <w:t>Total:</w:t>
            </w:r>
          </w:p>
        </w:tc>
        <w:tc>
          <w:tcPr>
            <w:tcW w:w="836" w:type="dxa"/>
          </w:tcPr>
          <w:p w14:paraId="78B3724C" w14:textId="77777777" w:rsidR="002617CF" w:rsidRDefault="002617CF">
            <w:pPr>
              <w:spacing w:before="0"/>
              <w:rPr>
                <w:rFonts w:eastAsiaTheme="majorEastAsia" w:cs="Calibri"/>
                <w:kern w:val="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8B3724D" w14:textId="77777777" w:rsidR="002617CF" w:rsidRDefault="00000000">
            <w:pPr>
              <w:spacing w:before="0"/>
              <w:rPr>
                <w:rFonts w:eastAsiaTheme="majorEastAsia" w:cs="Calibri"/>
                <w:kern w:val="0"/>
                <w:szCs w:val="20"/>
                <w14:ligatures w14:val="none"/>
              </w:rPr>
            </w:pPr>
            <w:r>
              <w:rPr>
                <w:rFonts w:eastAsiaTheme="majorEastAsia" w:cs="Calibri"/>
                <w:kern w:val="0"/>
                <w:szCs w:val="20"/>
                <w14:ligatures w14:val="none"/>
              </w:rPr>
              <w:t>Homens:</w:t>
            </w:r>
          </w:p>
        </w:tc>
        <w:tc>
          <w:tcPr>
            <w:tcW w:w="709" w:type="dxa"/>
          </w:tcPr>
          <w:p w14:paraId="78B3724E" w14:textId="77777777" w:rsidR="002617CF" w:rsidRDefault="002617CF">
            <w:pPr>
              <w:spacing w:before="0"/>
              <w:rPr>
                <w:rFonts w:eastAsiaTheme="majorEastAsia" w:cs="Calibri"/>
                <w:kern w:val="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8B3724F" w14:textId="77777777" w:rsidR="002617CF" w:rsidRDefault="00000000">
            <w:pPr>
              <w:spacing w:before="0"/>
              <w:rPr>
                <w:rFonts w:eastAsiaTheme="majorEastAsia" w:cs="Calibri"/>
                <w:kern w:val="0"/>
                <w:szCs w:val="20"/>
                <w14:ligatures w14:val="none"/>
              </w:rPr>
            </w:pPr>
            <w:r>
              <w:rPr>
                <w:rFonts w:eastAsiaTheme="majorEastAsia" w:cs="Calibri"/>
                <w:kern w:val="0"/>
                <w:szCs w:val="20"/>
                <w14:ligatures w14:val="none"/>
              </w:rPr>
              <w:t>Mulheres</w:t>
            </w:r>
          </w:p>
        </w:tc>
        <w:tc>
          <w:tcPr>
            <w:tcW w:w="709" w:type="dxa"/>
          </w:tcPr>
          <w:p w14:paraId="78B37250" w14:textId="77777777" w:rsidR="002617CF" w:rsidRDefault="002617CF">
            <w:pPr>
              <w:spacing w:before="0"/>
              <w:rPr>
                <w:rFonts w:eastAsiaTheme="majorEastAsia" w:cs="Calibri"/>
                <w:kern w:val="0"/>
                <w:szCs w:val="20"/>
                <w14:ligatures w14:val="none"/>
              </w:rPr>
            </w:pPr>
          </w:p>
        </w:tc>
      </w:tr>
    </w:tbl>
    <w:p w14:paraId="78B37252" w14:textId="77777777" w:rsidR="002617CF" w:rsidRDefault="002617CF">
      <w:pPr>
        <w:spacing w:before="0" w:after="0"/>
        <w:rPr>
          <w:rFonts w:eastAsiaTheme="majorEastAsia" w:cs="Calibri"/>
        </w:rPr>
      </w:pPr>
    </w:p>
    <w:p w14:paraId="78B37253" w14:textId="77777777" w:rsidR="002617CF" w:rsidRDefault="00000000">
      <w:pPr>
        <w:pStyle w:val="ListParagraph4"/>
        <w:numPr>
          <w:ilvl w:val="0"/>
          <w:numId w:val="1"/>
        </w:numPr>
        <w:spacing w:before="240" w:beforeAutospacing="0" w:after="200" w:line="240" w:lineRule="auto"/>
        <w:jc w:val="both"/>
        <w:rPr>
          <w:rFonts w:eastAsiaTheme="majorEastAsia" w:cs="Calibri"/>
          <w:b/>
          <w:lang w:val="pt-PT"/>
        </w:rPr>
      </w:pPr>
      <w:r>
        <w:rPr>
          <w:rFonts w:eastAsiaTheme="majorEastAsia" w:cs="Calibri"/>
          <w:b/>
          <w:lang w:val="pt-PT"/>
        </w:rPr>
        <w:t>DADOS DO(S) PARTICIPANTE(S)</w:t>
      </w:r>
      <w:r>
        <w:rPr>
          <w:rStyle w:val="FootnoteReference"/>
          <w:rFonts w:eastAsiaTheme="majorEastAsia" w:cs="Calibri"/>
          <w:b/>
          <w:lang w:val="pt-PT"/>
        </w:rPr>
        <w:footnoteReference w:id="2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2617CF" w14:paraId="78B37256" w14:textId="77777777">
        <w:tc>
          <w:tcPr>
            <w:tcW w:w="6475" w:type="dxa"/>
            <w:shd w:val="clear" w:color="auto" w:fill="002060"/>
          </w:tcPr>
          <w:p w14:paraId="78B37254" w14:textId="77777777" w:rsidR="002617CF" w:rsidRDefault="00000000">
            <w:pPr>
              <w:spacing w:before="0" w:after="0" w:line="240" w:lineRule="auto"/>
              <w:rPr>
                <w:rFonts w:cs="Calibri"/>
                <w:b/>
                <w:bCs/>
                <w:kern w:val="0"/>
                <w:szCs w:val="20"/>
                <w:lang w:val="pt-PT"/>
                <w14:ligatures w14:val="none"/>
              </w:rPr>
            </w:pPr>
            <w:r>
              <w:rPr>
                <w:rFonts w:cs="Calibri"/>
                <w:b/>
                <w:bCs/>
                <w:kern w:val="0"/>
                <w:szCs w:val="20"/>
                <w:lang w:val="pt-PT"/>
                <w14:ligatures w14:val="none"/>
              </w:rPr>
              <w:t>Nome(s)</w:t>
            </w:r>
          </w:p>
        </w:tc>
        <w:tc>
          <w:tcPr>
            <w:tcW w:w="6475" w:type="dxa"/>
            <w:shd w:val="clear" w:color="auto" w:fill="002060"/>
          </w:tcPr>
          <w:p w14:paraId="78B37255" w14:textId="77777777" w:rsidR="002617CF" w:rsidRDefault="00000000">
            <w:pPr>
              <w:spacing w:before="0" w:after="0" w:line="240" w:lineRule="auto"/>
              <w:rPr>
                <w:rFonts w:cs="Calibri"/>
                <w:b/>
                <w:bCs/>
                <w:kern w:val="0"/>
                <w:szCs w:val="20"/>
                <w:lang w:val="pt-PT"/>
                <w14:ligatures w14:val="none"/>
              </w:rPr>
            </w:pPr>
            <w:r>
              <w:rPr>
                <w:rFonts w:cs="Calibri"/>
                <w:b/>
                <w:bCs/>
                <w:kern w:val="0"/>
                <w:szCs w:val="20"/>
                <w:lang w:val="pt-PT"/>
                <w14:ligatures w14:val="none"/>
              </w:rPr>
              <w:t xml:space="preserve">Instituição </w:t>
            </w:r>
          </w:p>
        </w:tc>
      </w:tr>
      <w:tr w:rsidR="002617CF" w14:paraId="78B37259" w14:textId="77777777">
        <w:tc>
          <w:tcPr>
            <w:tcW w:w="6475" w:type="dxa"/>
          </w:tcPr>
          <w:p w14:paraId="78B37257" w14:textId="77777777" w:rsidR="002617CF" w:rsidRDefault="002617CF">
            <w:pPr>
              <w:spacing w:before="0" w:after="0" w:line="240" w:lineRule="auto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  <w:tc>
          <w:tcPr>
            <w:tcW w:w="6475" w:type="dxa"/>
          </w:tcPr>
          <w:p w14:paraId="78B37258" w14:textId="77777777" w:rsidR="002617CF" w:rsidRDefault="002617CF">
            <w:pPr>
              <w:spacing w:before="0" w:after="0" w:line="240" w:lineRule="auto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2617CF" w14:paraId="78B3725C" w14:textId="77777777">
        <w:tc>
          <w:tcPr>
            <w:tcW w:w="6475" w:type="dxa"/>
          </w:tcPr>
          <w:p w14:paraId="78B3725A" w14:textId="77777777" w:rsidR="002617CF" w:rsidRDefault="002617CF">
            <w:pPr>
              <w:spacing w:before="0" w:after="0" w:line="240" w:lineRule="auto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  <w:tc>
          <w:tcPr>
            <w:tcW w:w="6475" w:type="dxa"/>
          </w:tcPr>
          <w:p w14:paraId="78B3725B" w14:textId="77777777" w:rsidR="002617CF" w:rsidRDefault="002617CF">
            <w:pPr>
              <w:spacing w:before="0" w:after="0" w:line="240" w:lineRule="auto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2617CF" w14:paraId="78B3725F" w14:textId="77777777">
        <w:tc>
          <w:tcPr>
            <w:tcW w:w="6475" w:type="dxa"/>
          </w:tcPr>
          <w:p w14:paraId="78B3725D" w14:textId="77777777" w:rsidR="002617CF" w:rsidRDefault="002617CF">
            <w:pPr>
              <w:spacing w:before="0" w:after="0" w:line="240" w:lineRule="auto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  <w:tc>
          <w:tcPr>
            <w:tcW w:w="6475" w:type="dxa"/>
          </w:tcPr>
          <w:p w14:paraId="78B3725E" w14:textId="77777777" w:rsidR="002617CF" w:rsidRDefault="002617CF">
            <w:pPr>
              <w:spacing w:before="0" w:after="0" w:line="240" w:lineRule="auto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2617CF" w14:paraId="78B37262" w14:textId="77777777">
        <w:tc>
          <w:tcPr>
            <w:tcW w:w="6475" w:type="dxa"/>
          </w:tcPr>
          <w:p w14:paraId="78B37260" w14:textId="77777777" w:rsidR="002617CF" w:rsidRDefault="002617CF">
            <w:pPr>
              <w:spacing w:before="0" w:after="0" w:line="240" w:lineRule="auto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  <w:tc>
          <w:tcPr>
            <w:tcW w:w="6475" w:type="dxa"/>
          </w:tcPr>
          <w:p w14:paraId="78B37261" w14:textId="77777777" w:rsidR="002617CF" w:rsidRDefault="002617CF">
            <w:pPr>
              <w:spacing w:before="0" w:after="0" w:line="240" w:lineRule="auto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2617CF" w14:paraId="78B37265" w14:textId="77777777">
        <w:tc>
          <w:tcPr>
            <w:tcW w:w="6475" w:type="dxa"/>
          </w:tcPr>
          <w:p w14:paraId="78B37263" w14:textId="77777777" w:rsidR="002617CF" w:rsidRDefault="002617CF">
            <w:pPr>
              <w:spacing w:before="0" w:after="0" w:line="240" w:lineRule="auto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  <w:tc>
          <w:tcPr>
            <w:tcW w:w="6475" w:type="dxa"/>
          </w:tcPr>
          <w:p w14:paraId="78B37264" w14:textId="77777777" w:rsidR="002617CF" w:rsidRDefault="002617CF">
            <w:pPr>
              <w:spacing w:before="0" w:after="0" w:line="240" w:lineRule="auto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2617CF" w14:paraId="78B37268" w14:textId="77777777">
        <w:tc>
          <w:tcPr>
            <w:tcW w:w="6475" w:type="dxa"/>
          </w:tcPr>
          <w:p w14:paraId="78B37266" w14:textId="77777777" w:rsidR="002617CF" w:rsidRDefault="002617CF">
            <w:pPr>
              <w:spacing w:before="0" w:after="0" w:line="240" w:lineRule="auto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  <w:tc>
          <w:tcPr>
            <w:tcW w:w="6475" w:type="dxa"/>
          </w:tcPr>
          <w:p w14:paraId="78B37267" w14:textId="77777777" w:rsidR="002617CF" w:rsidRDefault="002617CF">
            <w:pPr>
              <w:spacing w:before="0" w:after="0" w:line="240" w:lineRule="auto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2617CF" w14:paraId="78B3726B" w14:textId="77777777">
        <w:tc>
          <w:tcPr>
            <w:tcW w:w="6475" w:type="dxa"/>
          </w:tcPr>
          <w:p w14:paraId="78B37269" w14:textId="77777777" w:rsidR="002617CF" w:rsidRDefault="002617CF">
            <w:pPr>
              <w:spacing w:before="0" w:after="0" w:line="240" w:lineRule="auto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  <w:tc>
          <w:tcPr>
            <w:tcW w:w="6475" w:type="dxa"/>
          </w:tcPr>
          <w:p w14:paraId="78B3726A" w14:textId="77777777" w:rsidR="002617CF" w:rsidRDefault="002617CF">
            <w:pPr>
              <w:spacing w:before="0" w:after="0" w:line="240" w:lineRule="auto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2617CF" w14:paraId="78B3726E" w14:textId="77777777">
        <w:tc>
          <w:tcPr>
            <w:tcW w:w="6475" w:type="dxa"/>
          </w:tcPr>
          <w:p w14:paraId="78B3726C" w14:textId="77777777" w:rsidR="002617CF" w:rsidRDefault="002617CF">
            <w:pPr>
              <w:spacing w:before="0" w:after="0" w:line="240" w:lineRule="auto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  <w:tc>
          <w:tcPr>
            <w:tcW w:w="6475" w:type="dxa"/>
          </w:tcPr>
          <w:p w14:paraId="78B3726D" w14:textId="77777777" w:rsidR="002617CF" w:rsidRDefault="002617CF">
            <w:pPr>
              <w:spacing w:before="0" w:after="0" w:line="240" w:lineRule="auto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2617CF" w14:paraId="78B37271" w14:textId="77777777">
        <w:tc>
          <w:tcPr>
            <w:tcW w:w="6475" w:type="dxa"/>
          </w:tcPr>
          <w:p w14:paraId="78B3726F" w14:textId="77777777" w:rsidR="002617CF" w:rsidRDefault="002617CF">
            <w:pPr>
              <w:spacing w:before="0" w:after="0" w:line="240" w:lineRule="auto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  <w:tc>
          <w:tcPr>
            <w:tcW w:w="6475" w:type="dxa"/>
          </w:tcPr>
          <w:p w14:paraId="78B37270" w14:textId="77777777" w:rsidR="002617CF" w:rsidRDefault="002617CF">
            <w:pPr>
              <w:spacing w:before="0" w:after="0" w:line="240" w:lineRule="auto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</w:tbl>
    <w:p w14:paraId="78B37272" w14:textId="77777777" w:rsidR="002617CF" w:rsidRDefault="00000000">
      <w:pPr>
        <w:pStyle w:val="ListParagraph4"/>
        <w:numPr>
          <w:ilvl w:val="0"/>
          <w:numId w:val="1"/>
        </w:numPr>
        <w:spacing w:before="240" w:beforeAutospacing="0" w:after="200" w:line="240" w:lineRule="auto"/>
        <w:jc w:val="both"/>
        <w:rPr>
          <w:rFonts w:eastAsiaTheme="majorEastAsia" w:cs="Calibri"/>
          <w:b/>
          <w:lang w:val="pt-PT"/>
        </w:rPr>
      </w:pPr>
      <w:r>
        <w:rPr>
          <w:rFonts w:eastAsiaTheme="majorEastAsia" w:cs="Calibri"/>
          <w:b/>
          <w:lang w:val="pt-PT"/>
        </w:rPr>
        <w:lastRenderedPageBreak/>
        <w:t>Contribuições gerais para a proposta do Ante-Projecto da Política Nacional do Ambiente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1010"/>
        <w:gridCol w:w="7104"/>
      </w:tblGrid>
      <w:tr w:rsidR="002617CF" w14:paraId="78B37276" w14:textId="77777777">
        <w:trPr>
          <w:trHeight w:val="236"/>
        </w:trPr>
        <w:tc>
          <w:tcPr>
            <w:tcW w:w="2027" w:type="pct"/>
            <w:shd w:val="clear" w:color="auto" w:fill="002060"/>
            <w:vAlign w:val="center"/>
          </w:tcPr>
          <w:p w14:paraId="78B37273" w14:textId="77777777" w:rsidR="002617CF" w:rsidRDefault="00000000">
            <w:pPr>
              <w:spacing w:before="0" w:after="0"/>
              <w:ind w:left="0"/>
              <w:jc w:val="center"/>
              <w:rPr>
                <w:rFonts w:cs="Calibri"/>
                <w:b/>
                <w:szCs w:val="20"/>
                <w:lang w:val="pt-PT"/>
              </w:rPr>
            </w:pPr>
            <w:r>
              <w:rPr>
                <w:rFonts w:cs="Calibri"/>
                <w:b/>
                <w:szCs w:val="20"/>
                <w:lang w:val="pt-PT"/>
              </w:rPr>
              <w:t>Tema</w:t>
            </w:r>
          </w:p>
        </w:tc>
        <w:tc>
          <w:tcPr>
            <w:tcW w:w="370" w:type="pct"/>
            <w:shd w:val="clear" w:color="auto" w:fill="002060"/>
            <w:vAlign w:val="center"/>
          </w:tcPr>
          <w:p w14:paraId="78B37274" w14:textId="77777777" w:rsidR="002617CF" w:rsidRDefault="00000000">
            <w:pPr>
              <w:spacing w:before="0" w:after="0"/>
              <w:ind w:left="0"/>
              <w:jc w:val="center"/>
              <w:rPr>
                <w:rFonts w:cs="Calibri"/>
                <w:b/>
                <w:szCs w:val="20"/>
                <w:lang w:val="pt-BR"/>
              </w:rPr>
            </w:pPr>
            <w:r>
              <w:rPr>
                <w:rFonts w:cs="Calibri"/>
                <w:b/>
                <w:szCs w:val="20"/>
                <w:lang w:val="pt-BR"/>
              </w:rPr>
              <w:t>Pag.</w:t>
            </w:r>
          </w:p>
        </w:tc>
        <w:tc>
          <w:tcPr>
            <w:tcW w:w="2603" w:type="pct"/>
            <w:shd w:val="clear" w:color="auto" w:fill="002060"/>
            <w:vAlign w:val="center"/>
          </w:tcPr>
          <w:p w14:paraId="78B37275" w14:textId="77777777" w:rsidR="002617CF" w:rsidRDefault="00000000">
            <w:pPr>
              <w:spacing w:before="0" w:after="0"/>
              <w:ind w:left="0"/>
              <w:jc w:val="center"/>
              <w:rPr>
                <w:rFonts w:cs="Calibri"/>
                <w:b/>
                <w:bCs/>
                <w:szCs w:val="20"/>
                <w:lang w:val="pt-PT"/>
              </w:rPr>
            </w:pPr>
            <w:r>
              <w:rPr>
                <w:rFonts w:cs="Calibri"/>
                <w:b/>
                <w:bCs/>
                <w:szCs w:val="20"/>
                <w:lang w:val="pt-PT"/>
              </w:rPr>
              <w:t>CONTRIBUIÇÕES</w:t>
            </w:r>
          </w:p>
        </w:tc>
      </w:tr>
      <w:tr w:rsidR="002617CF" w14:paraId="78B3727B" w14:textId="77777777">
        <w:trPr>
          <w:trHeight w:val="917"/>
        </w:trPr>
        <w:tc>
          <w:tcPr>
            <w:tcW w:w="2027" w:type="pct"/>
          </w:tcPr>
          <w:p w14:paraId="78B37277" w14:textId="77777777" w:rsidR="002617CF" w:rsidRDefault="002617CF">
            <w:pPr>
              <w:spacing w:after="0"/>
              <w:ind w:left="0"/>
              <w:rPr>
                <w:rFonts w:eastAsia="Footlight MT Light" w:cs="Calibri"/>
                <w:lang w:val="pt-PT"/>
              </w:rPr>
            </w:pPr>
          </w:p>
          <w:p w14:paraId="78B37278" w14:textId="77777777" w:rsidR="002617CF" w:rsidRDefault="00000000">
            <w:pPr>
              <w:spacing w:after="0"/>
              <w:rPr>
                <w:rFonts w:eastAsia="Footlight MT Light" w:cs="Calibri"/>
                <w:lang w:val="pt-PT"/>
              </w:rPr>
            </w:pPr>
            <w:r>
              <w:rPr>
                <w:rFonts w:eastAsia="Footlight MT Light" w:cs="Calibri"/>
                <w:lang w:val="pt-PT"/>
              </w:rPr>
              <w:t xml:space="preserve"> </w:t>
            </w:r>
          </w:p>
        </w:tc>
        <w:tc>
          <w:tcPr>
            <w:tcW w:w="370" w:type="pct"/>
          </w:tcPr>
          <w:p w14:paraId="78B37279" w14:textId="77777777" w:rsidR="002617CF" w:rsidRDefault="002617CF">
            <w:pPr>
              <w:spacing w:after="0"/>
              <w:jc w:val="center"/>
              <w:rPr>
                <w:rFonts w:cs="Calibri"/>
                <w:b/>
                <w:szCs w:val="20"/>
                <w:lang w:val="pt-PT"/>
              </w:rPr>
            </w:pPr>
          </w:p>
        </w:tc>
        <w:tc>
          <w:tcPr>
            <w:tcW w:w="2603" w:type="pct"/>
          </w:tcPr>
          <w:p w14:paraId="78B3727A" w14:textId="77777777" w:rsidR="002617CF" w:rsidRDefault="002617CF">
            <w:pPr>
              <w:pStyle w:val="ListParagraph"/>
              <w:ind w:left="0"/>
              <w:rPr>
                <w:rFonts w:cs="Calibri"/>
                <w:sz w:val="24"/>
              </w:rPr>
            </w:pPr>
          </w:p>
        </w:tc>
      </w:tr>
      <w:tr w:rsidR="002617CF" w14:paraId="78B3727F" w14:textId="77777777">
        <w:trPr>
          <w:trHeight w:val="824"/>
        </w:trPr>
        <w:tc>
          <w:tcPr>
            <w:tcW w:w="2027" w:type="pct"/>
          </w:tcPr>
          <w:p w14:paraId="78B3727C" w14:textId="77777777" w:rsidR="002617CF" w:rsidRDefault="002617CF">
            <w:pPr>
              <w:spacing w:after="0"/>
              <w:rPr>
                <w:rFonts w:eastAsia="Footlight MT Light" w:cs="Calibri"/>
                <w:lang w:val="pt-PT"/>
              </w:rPr>
            </w:pPr>
          </w:p>
        </w:tc>
        <w:tc>
          <w:tcPr>
            <w:tcW w:w="370" w:type="pct"/>
          </w:tcPr>
          <w:p w14:paraId="78B3727D" w14:textId="77777777" w:rsidR="002617CF" w:rsidRDefault="002617CF">
            <w:pPr>
              <w:spacing w:after="0"/>
              <w:jc w:val="center"/>
              <w:rPr>
                <w:rFonts w:cs="Calibri"/>
                <w:b/>
                <w:szCs w:val="20"/>
                <w:lang w:val="pt-PT"/>
              </w:rPr>
            </w:pPr>
          </w:p>
        </w:tc>
        <w:tc>
          <w:tcPr>
            <w:tcW w:w="2603" w:type="pct"/>
          </w:tcPr>
          <w:p w14:paraId="78B3727E" w14:textId="77777777" w:rsidR="002617CF" w:rsidRDefault="002617CF">
            <w:pPr>
              <w:pStyle w:val="ListParagraph"/>
              <w:ind w:left="0"/>
              <w:rPr>
                <w:rFonts w:cs="Calibri"/>
                <w:sz w:val="24"/>
              </w:rPr>
            </w:pPr>
          </w:p>
        </w:tc>
      </w:tr>
      <w:tr w:rsidR="002617CF" w14:paraId="78B37284" w14:textId="77777777">
        <w:trPr>
          <w:trHeight w:val="997"/>
        </w:trPr>
        <w:tc>
          <w:tcPr>
            <w:tcW w:w="2027" w:type="pct"/>
          </w:tcPr>
          <w:p w14:paraId="78B37280" w14:textId="77777777" w:rsidR="002617CF" w:rsidRDefault="002617CF">
            <w:pPr>
              <w:spacing w:after="0"/>
              <w:ind w:left="0"/>
              <w:rPr>
                <w:rFonts w:cs="Calibri"/>
                <w:b/>
                <w:szCs w:val="20"/>
                <w:lang w:val="pt-PT"/>
              </w:rPr>
            </w:pPr>
          </w:p>
          <w:p w14:paraId="78B37281" w14:textId="77777777" w:rsidR="002617CF" w:rsidRDefault="002617CF">
            <w:pPr>
              <w:spacing w:after="0"/>
              <w:rPr>
                <w:rFonts w:cs="Calibri"/>
                <w:b/>
                <w:szCs w:val="20"/>
                <w:lang w:val="pt-PT"/>
              </w:rPr>
            </w:pPr>
          </w:p>
        </w:tc>
        <w:tc>
          <w:tcPr>
            <w:tcW w:w="370" w:type="pct"/>
          </w:tcPr>
          <w:p w14:paraId="78B37282" w14:textId="77777777" w:rsidR="002617CF" w:rsidRDefault="002617CF">
            <w:pPr>
              <w:spacing w:after="0"/>
              <w:jc w:val="center"/>
              <w:rPr>
                <w:rFonts w:eastAsia="Times New Roman" w:cs="Calibri"/>
                <w:b/>
                <w:szCs w:val="20"/>
                <w:lang w:val="pt-PT"/>
              </w:rPr>
            </w:pPr>
          </w:p>
        </w:tc>
        <w:tc>
          <w:tcPr>
            <w:tcW w:w="2603" w:type="pct"/>
          </w:tcPr>
          <w:p w14:paraId="78B37283" w14:textId="77777777" w:rsidR="002617CF" w:rsidRDefault="002617CF">
            <w:pPr>
              <w:spacing w:after="0"/>
              <w:rPr>
                <w:rFonts w:eastAsia="Times New Roman" w:cs="Calibri"/>
                <w:b/>
                <w:szCs w:val="20"/>
                <w:lang w:val="pt-PT"/>
              </w:rPr>
            </w:pPr>
          </w:p>
        </w:tc>
      </w:tr>
      <w:tr w:rsidR="002617CF" w14:paraId="78B37288" w14:textId="77777777">
        <w:trPr>
          <w:trHeight w:val="997"/>
        </w:trPr>
        <w:tc>
          <w:tcPr>
            <w:tcW w:w="2027" w:type="pct"/>
          </w:tcPr>
          <w:p w14:paraId="78B37285" w14:textId="77777777" w:rsidR="002617CF" w:rsidRDefault="002617CF">
            <w:pPr>
              <w:spacing w:after="0"/>
              <w:ind w:left="0"/>
              <w:rPr>
                <w:rFonts w:cs="Calibri"/>
                <w:b/>
                <w:szCs w:val="20"/>
                <w:lang w:val="pt-PT"/>
              </w:rPr>
            </w:pPr>
          </w:p>
        </w:tc>
        <w:tc>
          <w:tcPr>
            <w:tcW w:w="370" w:type="pct"/>
          </w:tcPr>
          <w:p w14:paraId="78B37286" w14:textId="77777777" w:rsidR="002617CF" w:rsidRDefault="002617CF">
            <w:pPr>
              <w:spacing w:after="0"/>
              <w:jc w:val="center"/>
              <w:rPr>
                <w:rFonts w:eastAsia="Times New Roman" w:cs="Calibri"/>
                <w:b/>
                <w:szCs w:val="20"/>
                <w:lang w:val="pt-PT"/>
              </w:rPr>
            </w:pPr>
          </w:p>
        </w:tc>
        <w:tc>
          <w:tcPr>
            <w:tcW w:w="2603" w:type="pct"/>
          </w:tcPr>
          <w:p w14:paraId="78B37287" w14:textId="77777777" w:rsidR="002617CF" w:rsidRDefault="002617CF">
            <w:pPr>
              <w:spacing w:after="0"/>
              <w:rPr>
                <w:rFonts w:eastAsia="Times New Roman" w:cs="Calibri"/>
                <w:b/>
                <w:szCs w:val="20"/>
                <w:lang w:val="pt-PT"/>
              </w:rPr>
            </w:pPr>
          </w:p>
        </w:tc>
      </w:tr>
    </w:tbl>
    <w:p w14:paraId="78B37289" w14:textId="77777777" w:rsidR="002617CF" w:rsidRDefault="002617CF">
      <w:pPr>
        <w:spacing w:after="200" w:line="276" w:lineRule="auto"/>
        <w:rPr>
          <w:rFonts w:cs="Calibri"/>
          <w:b/>
          <w:bCs/>
          <w:lang w:val="pt-BR"/>
        </w:rPr>
      </w:pPr>
    </w:p>
    <w:p w14:paraId="78B3728A" w14:textId="77777777" w:rsidR="002617CF" w:rsidRDefault="00000000">
      <w:pPr>
        <w:pStyle w:val="ListParagraph4"/>
        <w:numPr>
          <w:ilvl w:val="0"/>
          <w:numId w:val="1"/>
        </w:numPr>
        <w:spacing w:before="240" w:beforeAutospacing="0" w:after="200" w:line="240" w:lineRule="auto"/>
        <w:jc w:val="both"/>
        <w:rPr>
          <w:rFonts w:eastAsiaTheme="majorEastAsia" w:cs="Calibri"/>
          <w:b/>
          <w:lang w:val="pt-PT"/>
        </w:rPr>
      </w:pPr>
      <w:r>
        <w:rPr>
          <w:rFonts w:eastAsiaTheme="majorEastAsia" w:cs="Calibri"/>
          <w:b/>
          <w:lang w:val="pt-PT"/>
        </w:rPr>
        <w:t>Contribuições gerais para a proposta do Ante-Projecto da Lei do Ambiente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1010"/>
        <w:gridCol w:w="871"/>
        <w:gridCol w:w="1206"/>
        <w:gridCol w:w="9257"/>
      </w:tblGrid>
      <w:tr w:rsidR="002617CF" w14:paraId="78B37290" w14:textId="77777777">
        <w:trPr>
          <w:trHeight w:val="251"/>
        </w:trPr>
        <w:tc>
          <w:tcPr>
            <w:tcW w:w="477" w:type="pct"/>
            <w:shd w:val="clear" w:color="auto" w:fill="002060"/>
          </w:tcPr>
          <w:p w14:paraId="78B3728B" w14:textId="77777777" w:rsidR="002617CF" w:rsidRDefault="00000000">
            <w:pPr>
              <w:spacing w:before="0" w:after="0"/>
              <w:ind w:left="0"/>
              <w:jc w:val="center"/>
              <w:rPr>
                <w:rFonts w:cs="Calibri"/>
                <w:b/>
                <w:szCs w:val="20"/>
                <w:lang w:val="pt-PT"/>
              </w:rPr>
            </w:pPr>
            <w:r>
              <w:rPr>
                <w:rFonts w:cs="Calibri"/>
                <w:b/>
                <w:szCs w:val="20"/>
                <w:lang w:val="pt-PT"/>
              </w:rPr>
              <w:t>CAPÍT.</w:t>
            </w:r>
          </w:p>
        </w:tc>
        <w:tc>
          <w:tcPr>
            <w:tcW w:w="370" w:type="pct"/>
            <w:shd w:val="clear" w:color="auto" w:fill="002060"/>
          </w:tcPr>
          <w:p w14:paraId="78B3728C" w14:textId="77777777" w:rsidR="002617CF" w:rsidRDefault="00000000">
            <w:pPr>
              <w:spacing w:before="0" w:after="0"/>
              <w:ind w:left="0"/>
              <w:jc w:val="center"/>
              <w:rPr>
                <w:rFonts w:cs="Calibri"/>
                <w:b/>
                <w:szCs w:val="20"/>
                <w:lang w:val="pt-BR"/>
              </w:rPr>
            </w:pPr>
            <w:r>
              <w:rPr>
                <w:rFonts w:cs="Calibri"/>
                <w:b/>
                <w:szCs w:val="20"/>
                <w:lang w:val="pt-BR"/>
              </w:rPr>
              <w:t>ART.</w:t>
            </w:r>
          </w:p>
        </w:tc>
        <w:tc>
          <w:tcPr>
            <w:tcW w:w="319" w:type="pct"/>
            <w:shd w:val="clear" w:color="auto" w:fill="002060"/>
          </w:tcPr>
          <w:p w14:paraId="78B3728D" w14:textId="77777777" w:rsidR="002617CF" w:rsidRDefault="00000000">
            <w:pPr>
              <w:spacing w:before="0" w:after="0"/>
              <w:ind w:left="0"/>
              <w:jc w:val="center"/>
              <w:rPr>
                <w:rFonts w:cs="Calibri"/>
                <w:b/>
                <w:bCs/>
                <w:szCs w:val="20"/>
                <w:lang w:val="pt-PT"/>
              </w:rPr>
            </w:pPr>
            <w:r>
              <w:rPr>
                <w:rFonts w:cs="Calibri"/>
                <w:b/>
                <w:bCs/>
                <w:szCs w:val="20"/>
                <w:lang w:val="pt-PT"/>
              </w:rPr>
              <w:t>N°</w:t>
            </w:r>
          </w:p>
        </w:tc>
        <w:tc>
          <w:tcPr>
            <w:tcW w:w="442" w:type="pct"/>
            <w:shd w:val="clear" w:color="auto" w:fill="002060"/>
          </w:tcPr>
          <w:p w14:paraId="78B3728E" w14:textId="77777777" w:rsidR="002617CF" w:rsidRDefault="00000000">
            <w:pPr>
              <w:spacing w:before="0" w:after="0"/>
              <w:ind w:left="0" w:right="-145"/>
              <w:jc w:val="center"/>
              <w:rPr>
                <w:rFonts w:cs="Calibri"/>
                <w:b/>
                <w:bCs/>
                <w:szCs w:val="20"/>
                <w:lang w:val="pt-PT"/>
              </w:rPr>
            </w:pPr>
            <w:r>
              <w:rPr>
                <w:rFonts w:cs="Calibri"/>
                <w:b/>
                <w:bCs/>
                <w:szCs w:val="20"/>
                <w:lang w:val="pt-PT"/>
              </w:rPr>
              <w:t>ALÍNEA</w:t>
            </w:r>
          </w:p>
        </w:tc>
        <w:tc>
          <w:tcPr>
            <w:tcW w:w="3393" w:type="pct"/>
            <w:shd w:val="clear" w:color="auto" w:fill="002060"/>
          </w:tcPr>
          <w:p w14:paraId="78B3728F" w14:textId="77777777" w:rsidR="002617CF" w:rsidRDefault="00000000">
            <w:pPr>
              <w:spacing w:before="0" w:after="0"/>
              <w:ind w:left="0"/>
              <w:jc w:val="center"/>
              <w:rPr>
                <w:rFonts w:cs="Calibri"/>
                <w:b/>
                <w:bCs/>
                <w:szCs w:val="20"/>
              </w:rPr>
            </w:pPr>
            <w:r>
              <w:rPr>
                <w:rFonts w:cs="Calibri"/>
                <w:b/>
                <w:bCs/>
                <w:szCs w:val="20"/>
              </w:rPr>
              <w:t>CONTRIBUIÇÕES</w:t>
            </w:r>
          </w:p>
        </w:tc>
      </w:tr>
      <w:tr w:rsidR="002617CF" w14:paraId="78B37297" w14:textId="77777777">
        <w:trPr>
          <w:trHeight w:val="890"/>
        </w:trPr>
        <w:tc>
          <w:tcPr>
            <w:tcW w:w="477" w:type="pct"/>
          </w:tcPr>
          <w:p w14:paraId="78B37291" w14:textId="77777777" w:rsidR="002617CF" w:rsidRDefault="002617CF">
            <w:pPr>
              <w:spacing w:after="0"/>
              <w:rPr>
                <w:rFonts w:eastAsia="Footlight MT Light" w:cs="Calibri"/>
              </w:rPr>
            </w:pPr>
          </w:p>
          <w:p w14:paraId="78B37292" w14:textId="77777777" w:rsidR="002617CF" w:rsidRDefault="002617CF">
            <w:pPr>
              <w:spacing w:after="0"/>
              <w:ind w:left="0"/>
              <w:rPr>
                <w:rFonts w:eastAsia="Footlight MT Light" w:cs="Calibri"/>
              </w:rPr>
            </w:pPr>
          </w:p>
        </w:tc>
        <w:tc>
          <w:tcPr>
            <w:tcW w:w="370" w:type="pct"/>
          </w:tcPr>
          <w:p w14:paraId="78B37293" w14:textId="77777777" w:rsidR="002617CF" w:rsidRDefault="002617CF">
            <w:pPr>
              <w:spacing w:after="0"/>
              <w:jc w:val="center"/>
              <w:rPr>
                <w:rFonts w:cs="Calibri"/>
                <w:b/>
                <w:szCs w:val="20"/>
                <w:lang w:val="en-GB"/>
              </w:rPr>
            </w:pPr>
          </w:p>
        </w:tc>
        <w:tc>
          <w:tcPr>
            <w:tcW w:w="319" w:type="pct"/>
          </w:tcPr>
          <w:p w14:paraId="78B37294" w14:textId="77777777" w:rsidR="002617CF" w:rsidRDefault="002617CF">
            <w:pPr>
              <w:pStyle w:val="ListParagraph"/>
              <w:ind w:left="0"/>
              <w:rPr>
                <w:rFonts w:cs="Calibri"/>
                <w:sz w:val="24"/>
                <w:lang w:val="en-GB"/>
              </w:rPr>
            </w:pPr>
          </w:p>
        </w:tc>
        <w:tc>
          <w:tcPr>
            <w:tcW w:w="442" w:type="pct"/>
          </w:tcPr>
          <w:p w14:paraId="78B37295" w14:textId="77777777" w:rsidR="002617CF" w:rsidRDefault="002617CF">
            <w:pPr>
              <w:pStyle w:val="ListParagraph"/>
              <w:ind w:left="0"/>
              <w:rPr>
                <w:rFonts w:cs="Calibri"/>
                <w:sz w:val="24"/>
                <w:lang w:val="en-GB"/>
              </w:rPr>
            </w:pPr>
          </w:p>
        </w:tc>
        <w:tc>
          <w:tcPr>
            <w:tcW w:w="3393" w:type="pct"/>
          </w:tcPr>
          <w:p w14:paraId="78B37296" w14:textId="77777777" w:rsidR="002617CF" w:rsidRDefault="002617CF">
            <w:pPr>
              <w:pStyle w:val="ListParagraph"/>
              <w:ind w:left="0"/>
              <w:rPr>
                <w:rFonts w:cs="Calibri"/>
                <w:szCs w:val="20"/>
                <w:lang w:val="en-GB"/>
              </w:rPr>
            </w:pPr>
          </w:p>
        </w:tc>
      </w:tr>
      <w:tr w:rsidR="002617CF" w14:paraId="78B3729E" w14:textId="77777777">
        <w:tc>
          <w:tcPr>
            <w:tcW w:w="477" w:type="pct"/>
          </w:tcPr>
          <w:p w14:paraId="78B37298" w14:textId="77777777" w:rsidR="002617CF" w:rsidRDefault="002617CF">
            <w:pPr>
              <w:spacing w:after="0"/>
              <w:ind w:left="0"/>
              <w:rPr>
                <w:rFonts w:cs="Calibri"/>
                <w:b/>
                <w:szCs w:val="20"/>
              </w:rPr>
            </w:pPr>
          </w:p>
          <w:p w14:paraId="78B37299" w14:textId="77777777" w:rsidR="002617CF" w:rsidRDefault="002617CF">
            <w:pPr>
              <w:spacing w:after="0"/>
              <w:rPr>
                <w:rFonts w:cs="Calibri"/>
                <w:b/>
                <w:szCs w:val="20"/>
              </w:rPr>
            </w:pPr>
          </w:p>
        </w:tc>
        <w:tc>
          <w:tcPr>
            <w:tcW w:w="370" w:type="pct"/>
          </w:tcPr>
          <w:p w14:paraId="78B3729A" w14:textId="77777777" w:rsidR="002617CF" w:rsidRDefault="002617CF">
            <w:pPr>
              <w:spacing w:after="0"/>
              <w:jc w:val="center"/>
              <w:rPr>
                <w:rFonts w:eastAsia="Times New Roman" w:cs="Calibri"/>
                <w:b/>
                <w:szCs w:val="20"/>
                <w:lang w:val="en-GB"/>
              </w:rPr>
            </w:pPr>
          </w:p>
        </w:tc>
        <w:tc>
          <w:tcPr>
            <w:tcW w:w="319" w:type="pct"/>
          </w:tcPr>
          <w:p w14:paraId="78B3729B" w14:textId="77777777" w:rsidR="002617CF" w:rsidRDefault="002617CF">
            <w:pPr>
              <w:spacing w:after="0"/>
              <w:rPr>
                <w:rFonts w:eastAsia="Times New Roman" w:cs="Calibri"/>
                <w:b/>
                <w:szCs w:val="20"/>
              </w:rPr>
            </w:pPr>
          </w:p>
        </w:tc>
        <w:tc>
          <w:tcPr>
            <w:tcW w:w="442" w:type="pct"/>
          </w:tcPr>
          <w:p w14:paraId="78B3729C" w14:textId="77777777" w:rsidR="002617CF" w:rsidRDefault="002617CF">
            <w:pPr>
              <w:spacing w:after="0"/>
              <w:rPr>
                <w:rFonts w:eastAsia="Times New Roman" w:cs="Calibri"/>
                <w:b/>
                <w:szCs w:val="20"/>
              </w:rPr>
            </w:pPr>
          </w:p>
        </w:tc>
        <w:tc>
          <w:tcPr>
            <w:tcW w:w="3393" w:type="pct"/>
          </w:tcPr>
          <w:p w14:paraId="78B3729D" w14:textId="77777777" w:rsidR="002617CF" w:rsidRDefault="002617CF">
            <w:pPr>
              <w:spacing w:after="0"/>
              <w:rPr>
                <w:rFonts w:eastAsia="Times New Roman" w:cs="Calibri"/>
                <w:b/>
                <w:szCs w:val="20"/>
              </w:rPr>
            </w:pPr>
          </w:p>
        </w:tc>
      </w:tr>
      <w:tr w:rsidR="002617CF" w14:paraId="78B372A5" w14:textId="77777777">
        <w:tc>
          <w:tcPr>
            <w:tcW w:w="477" w:type="pct"/>
          </w:tcPr>
          <w:p w14:paraId="78B3729F" w14:textId="77777777" w:rsidR="002617CF" w:rsidRDefault="002617CF">
            <w:pPr>
              <w:spacing w:after="0"/>
              <w:jc w:val="center"/>
              <w:rPr>
                <w:rFonts w:cs="Calibri"/>
                <w:b/>
                <w:szCs w:val="20"/>
              </w:rPr>
            </w:pPr>
          </w:p>
          <w:p w14:paraId="78B372A0" w14:textId="77777777" w:rsidR="002617CF" w:rsidRDefault="002617CF">
            <w:pPr>
              <w:spacing w:after="0"/>
              <w:ind w:left="0"/>
              <w:rPr>
                <w:rFonts w:cs="Calibri"/>
                <w:b/>
                <w:szCs w:val="20"/>
              </w:rPr>
            </w:pPr>
          </w:p>
        </w:tc>
        <w:tc>
          <w:tcPr>
            <w:tcW w:w="370" w:type="pct"/>
          </w:tcPr>
          <w:p w14:paraId="78B372A1" w14:textId="77777777" w:rsidR="002617CF" w:rsidRDefault="002617CF">
            <w:pPr>
              <w:spacing w:after="0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319" w:type="pct"/>
          </w:tcPr>
          <w:p w14:paraId="78B372A2" w14:textId="77777777" w:rsidR="002617CF" w:rsidRDefault="002617CF">
            <w:pPr>
              <w:spacing w:after="0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442" w:type="pct"/>
          </w:tcPr>
          <w:p w14:paraId="78B372A3" w14:textId="77777777" w:rsidR="002617CF" w:rsidRDefault="002617CF">
            <w:pPr>
              <w:spacing w:after="0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3393" w:type="pct"/>
          </w:tcPr>
          <w:p w14:paraId="78B372A4" w14:textId="77777777" w:rsidR="002617CF" w:rsidRDefault="002617CF">
            <w:pPr>
              <w:spacing w:after="0"/>
              <w:jc w:val="center"/>
              <w:rPr>
                <w:rFonts w:cs="Calibri"/>
                <w:b/>
                <w:szCs w:val="20"/>
              </w:rPr>
            </w:pPr>
          </w:p>
        </w:tc>
      </w:tr>
      <w:tr w:rsidR="002617CF" w14:paraId="78B372AC" w14:textId="77777777">
        <w:tc>
          <w:tcPr>
            <w:tcW w:w="477" w:type="pct"/>
          </w:tcPr>
          <w:p w14:paraId="78B372A6" w14:textId="77777777" w:rsidR="002617CF" w:rsidRDefault="002617CF">
            <w:pPr>
              <w:spacing w:after="0"/>
              <w:ind w:left="0"/>
              <w:rPr>
                <w:rFonts w:cs="Calibri"/>
                <w:b/>
                <w:szCs w:val="20"/>
              </w:rPr>
            </w:pPr>
          </w:p>
          <w:p w14:paraId="78B372A7" w14:textId="77777777" w:rsidR="002617CF" w:rsidRDefault="002617CF">
            <w:pPr>
              <w:spacing w:after="0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370" w:type="pct"/>
          </w:tcPr>
          <w:p w14:paraId="78B372A8" w14:textId="77777777" w:rsidR="002617CF" w:rsidRDefault="002617CF">
            <w:pPr>
              <w:spacing w:after="0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319" w:type="pct"/>
          </w:tcPr>
          <w:p w14:paraId="78B372A9" w14:textId="77777777" w:rsidR="002617CF" w:rsidRDefault="002617CF">
            <w:pPr>
              <w:spacing w:after="0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442" w:type="pct"/>
          </w:tcPr>
          <w:p w14:paraId="78B372AA" w14:textId="77777777" w:rsidR="002617CF" w:rsidRDefault="002617CF">
            <w:pPr>
              <w:spacing w:after="0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3393" w:type="pct"/>
          </w:tcPr>
          <w:p w14:paraId="78B372AB" w14:textId="77777777" w:rsidR="002617CF" w:rsidRDefault="002617CF">
            <w:pPr>
              <w:spacing w:after="0"/>
              <w:jc w:val="center"/>
              <w:rPr>
                <w:rFonts w:cs="Calibri"/>
                <w:b/>
                <w:szCs w:val="20"/>
              </w:rPr>
            </w:pPr>
          </w:p>
        </w:tc>
      </w:tr>
    </w:tbl>
    <w:p w14:paraId="78B372AD" w14:textId="77777777" w:rsidR="002617CF" w:rsidRDefault="00000000">
      <w:pPr>
        <w:rPr>
          <w:rFonts w:cs="Calibri"/>
        </w:rPr>
      </w:pPr>
      <w:r>
        <w:rPr>
          <w:rFonts w:cs="Calibri"/>
        </w:rP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65"/>
        <w:gridCol w:w="5675"/>
        <w:gridCol w:w="4945"/>
      </w:tblGrid>
      <w:tr w:rsidR="002617CF" w:rsidRPr="009A5579" w14:paraId="78B372B2" w14:textId="77777777">
        <w:trPr>
          <w:trHeight w:val="20"/>
          <w:tblHeader/>
          <w:jc w:val="center"/>
        </w:trPr>
        <w:tc>
          <w:tcPr>
            <w:tcW w:w="2965" w:type="dxa"/>
            <w:shd w:val="clear" w:color="auto" w:fill="002060"/>
          </w:tcPr>
          <w:p w14:paraId="78B372AE" w14:textId="77777777" w:rsidR="002617CF" w:rsidRDefault="00000000">
            <w:pPr>
              <w:ind w:left="144"/>
              <w:rPr>
                <w:rFonts w:cs="Calibri"/>
                <w:b/>
                <w:kern w:val="0"/>
                <w:szCs w:val="20"/>
                <w:lang w:val="pt-PT"/>
                <w14:ligatures w14:val="none"/>
              </w:rPr>
            </w:pPr>
            <w:r>
              <w:rPr>
                <w:rFonts w:cs="Calibri"/>
                <w:b/>
                <w:kern w:val="0"/>
                <w:szCs w:val="20"/>
                <w:lang w:val="pt-PT"/>
                <w14:ligatures w14:val="none"/>
              </w:rPr>
              <w:lastRenderedPageBreak/>
              <w:t>1. Desafios Actuais do Sector do Ambiente</w:t>
            </w:r>
          </w:p>
        </w:tc>
        <w:tc>
          <w:tcPr>
            <w:tcW w:w="5675" w:type="dxa"/>
            <w:shd w:val="clear" w:color="auto" w:fill="002060"/>
          </w:tcPr>
          <w:p w14:paraId="78B372AF" w14:textId="77777777" w:rsidR="002617CF" w:rsidRDefault="00000000">
            <w:pPr>
              <w:ind w:left="144"/>
              <w:rPr>
                <w:rFonts w:cs="Calibri"/>
                <w:b/>
                <w:kern w:val="0"/>
                <w:szCs w:val="20"/>
                <w:lang w:val="pt-PT"/>
                <w14:ligatures w14:val="none"/>
              </w:rPr>
            </w:pPr>
            <w:r>
              <w:rPr>
                <w:rFonts w:cs="Calibri"/>
                <w:b/>
                <w:bCs/>
                <w:kern w:val="0"/>
                <w:szCs w:val="20"/>
                <w:lang w:val="pt-PT"/>
                <w14:ligatures w14:val="none"/>
              </w:rPr>
              <w:t>2. Medidas Propostas no Ante-Projecto</w:t>
            </w:r>
          </w:p>
        </w:tc>
        <w:tc>
          <w:tcPr>
            <w:tcW w:w="4945" w:type="dxa"/>
            <w:shd w:val="clear" w:color="auto" w:fill="002060"/>
          </w:tcPr>
          <w:p w14:paraId="78B372B1" w14:textId="7E1F75FD" w:rsidR="002617CF" w:rsidRDefault="00000000" w:rsidP="003328FB">
            <w:pPr>
              <w:ind w:left="144"/>
              <w:rPr>
                <w:rFonts w:cs="Calibri"/>
                <w:b/>
                <w:bCs/>
                <w:kern w:val="0"/>
                <w:szCs w:val="20"/>
                <w:lang w:val="pt-PT"/>
                <w14:ligatures w14:val="none"/>
              </w:rPr>
            </w:pPr>
            <w:r>
              <w:rPr>
                <w:rFonts w:cs="Calibri"/>
                <w:b/>
                <w:bCs/>
                <w:kern w:val="0"/>
                <w:szCs w:val="20"/>
                <w:lang w:val="pt-PT"/>
                <w14:ligatures w14:val="none"/>
              </w:rPr>
              <w:t>3. Acha que a medida proposta responde ao desafio identificado? (Inserir o RESUMO da contribuição)</w:t>
            </w:r>
          </w:p>
        </w:tc>
      </w:tr>
      <w:tr w:rsidR="002617CF" w:rsidRPr="00C23314" w14:paraId="78B372B4" w14:textId="77777777">
        <w:trPr>
          <w:trHeight w:val="20"/>
          <w:jc w:val="center"/>
        </w:trPr>
        <w:tc>
          <w:tcPr>
            <w:tcW w:w="13585" w:type="dxa"/>
            <w:gridSpan w:val="3"/>
            <w:shd w:val="clear" w:color="auto" w:fill="95DCF7" w:themeFill="accent4" w:themeFillTint="66"/>
          </w:tcPr>
          <w:p w14:paraId="78B372B3" w14:textId="77777777" w:rsidR="002617CF" w:rsidRPr="00C23314" w:rsidRDefault="00000000">
            <w:pPr>
              <w:ind w:left="144"/>
              <w:jc w:val="center"/>
              <w:rPr>
                <w:rFonts w:cs="Calibri"/>
                <w:b/>
                <w:bCs/>
                <w:kern w:val="0"/>
                <w:sz w:val="24"/>
                <w:lang w:val="pt-PT"/>
                <w14:ligatures w14:val="none"/>
              </w:rPr>
            </w:pPr>
            <w:r w:rsidRPr="00C23314">
              <w:rPr>
                <w:rFonts w:cs="Calibri"/>
                <w:b/>
                <w:bCs/>
                <w:kern w:val="0"/>
                <w:sz w:val="24"/>
                <w:lang w:val="pt-PT"/>
                <w14:ligatures w14:val="none"/>
              </w:rPr>
              <w:t>Aspectos Institucionais</w:t>
            </w:r>
          </w:p>
        </w:tc>
      </w:tr>
      <w:tr w:rsidR="002617CF" w:rsidRPr="009A5579" w14:paraId="78B372BC" w14:textId="77777777">
        <w:trPr>
          <w:trHeight w:val="20"/>
          <w:jc w:val="center"/>
        </w:trPr>
        <w:tc>
          <w:tcPr>
            <w:tcW w:w="2965" w:type="dxa"/>
          </w:tcPr>
          <w:p w14:paraId="78B372B5" w14:textId="630B3736" w:rsidR="002617CF" w:rsidRDefault="00C23314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1. Recorrentes arranjos institucionais, influenciam a continuidade dos programas e concorrem para a perda de memória institucional</w:t>
            </w:r>
          </w:p>
          <w:p w14:paraId="78B372B6" w14:textId="77777777" w:rsidR="002617CF" w:rsidRDefault="002617CF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78B372B7" w14:textId="532C4973" w:rsidR="002617CF" w:rsidRPr="00C23314" w:rsidRDefault="0000000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</w:pPr>
            <w:r w:rsidRPr="00C23314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 xml:space="preserve">Na </w:t>
            </w:r>
            <w:r w:rsidR="00C23314" w:rsidRPr="00C23314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política</w:t>
            </w:r>
            <w:r w:rsidRPr="00C23314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:</w:t>
            </w:r>
          </w:p>
          <w:p w14:paraId="78B372B8" w14:textId="77777777" w:rsidR="002617CF" w:rsidRDefault="0000000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1. Realizar análise funcional do Ministério que superintende o sector do ambiente</w:t>
            </w:r>
          </w:p>
          <w:p w14:paraId="78B372B9" w14:textId="77777777" w:rsidR="002617CF" w:rsidRDefault="0000000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2. Criar braços técnicos dotados de autonomia técnica, administrativa e patrimonial, agregando funções de investigação, pesquisa, recolha, análise e sistematização e difusão de informação ambiental</w:t>
            </w:r>
          </w:p>
          <w:p w14:paraId="78B372BA" w14:textId="77777777" w:rsidR="002617CF" w:rsidRDefault="00000000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highlight w:val="yellow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3. Criar um repositório digital de publicações e dados ambientais, acessível ao público</w:t>
            </w:r>
          </w:p>
        </w:tc>
        <w:tc>
          <w:tcPr>
            <w:tcW w:w="4945" w:type="dxa"/>
          </w:tcPr>
          <w:p w14:paraId="78B372BB" w14:textId="77777777" w:rsidR="002617CF" w:rsidRDefault="002617CF">
            <w:pPr>
              <w:ind w:left="0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2617CF" w:rsidRPr="009A5579" w14:paraId="78B372C5" w14:textId="77777777">
        <w:trPr>
          <w:trHeight w:val="20"/>
          <w:jc w:val="center"/>
        </w:trPr>
        <w:tc>
          <w:tcPr>
            <w:tcW w:w="2965" w:type="dxa"/>
          </w:tcPr>
          <w:p w14:paraId="78B372BD" w14:textId="2302C981" w:rsidR="002617CF" w:rsidRDefault="00C23314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2. Limitada capacidade técnica, sobretudo a nível local, compromete a fiscalização e a implementação de programas</w:t>
            </w:r>
          </w:p>
        </w:tc>
        <w:tc>
          <w:tcPr>
            <w:tcW w:w="5675" w:type="dxa"/>
          </w:tcPr>
          <w:p w14:paraId="78B372BE" w14:textId="64FC987F" w:rsidR="002617CF" w:rsidRPr="00C23314" w:rsidRDefault="0000000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</w:pPr>
            <w:r w:rsidRPr="00C23314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 xml:space="preserve">Na </w:t>
            </w:r>
            <w:r w:rsidR="00C23314" w:rsidRPr="00C23314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Política</w:t>
            </w:r>
            <w:r w:rsidRPr="00C23314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:</w:t>
            </w:r>
          </w:p>
          <w:p w14:paraId="78B372BF" w14:textId="77777777" w:rsidR="002617CF" w:rsidRDefault="0000000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1. Desenvolver planos de formação contínua para técnicos e decisores, a todos os níveis, incluindo a troca de experiência e transferência de tecnologia aos níveis regional e global</w:t>
            </w:r>
          </w:p>
          <w:p w14:paraId="78B372C0" w14:textId="77777777" w:rsidR="002617CF" w:rsidRDefault="0000000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 xml:space="preserve">2. Recrutar técnicos especializados, sobretudo na área do petróleo e gás, mineração, lixo radioactivo, mudanças climáticas, estatística e economia ambiental, auditoria ambiental, planificação e orçamentação, entre outros, para melhorar a capacidade de resposta do sector do ambiente </w:t>
            </w:r>
          </w:p>
          <w:p w14:paraId="78B372C1" w14:textId="77777777" w:rsidR="002617CF" w:rsidRDefault="0000000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3. Criar centros de excelência em matéria de gestão ambiental e mudanças climáticas</w:t>
            </w:r>
          </w:p>
          <w:p w14:paraId="78B372C2" w14:textId="77777777" w:rsidR="002617CF" w:rsidRDefault="0000000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 xml:space="preserve">4. Promover o </w:t>
            </w:r>
            <w:r>
              <w:rPr>
                <w:rFonts w:cs="Calibri"/>
                <w:i/>
                <w:iCs/>
                <w:sz w:val="20"/>
                <w:szCs w:val="20"/>
                <w:lang w:val="pt-PT"/>
              </w:rPr>
              <w:t>networking</w:t>
            </w:r>
            <w:r>
              <w:rPr>
                <w:rFonts w:cs="Calibri"/>
                <w:sz w:val="20"/>
                <w:szCs w:val="20"/>
                <w:lang w:val="pt-PT"/>
              </w:rPr>
              <w:t xml:space="preserve"> entre centros de excelência em matéria de gestão ambiental e mudanças climáticas (níveis nacional, provincial, regional e internacional)</w:t>
            </w:r>
          </w:p>
          <w:p w14:paraId="78B372C3" w14:textId="77777777" w:rsidR="002617CF" w:rsidRDefault="00000000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5. Financiar formação e projetos de pesquisa em áreas prioritárias como biodiversidade, clima, energias limpas e restauro ecológico</w:t>
            </w:r>
          </w:p>
        </w:tc>
        <w:tc>
          <w:tcPr>
            <w:tcW w:w="4945" w:type="dxa"/>
          </w:tcPr>
          <w:p w14:paraId="78B372C4" w14:textId="77777777" w:rsidR="002617CF" w:rsidRDefault="002617CF">
            <w:pPr>
              <w:ind w:left="0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2617CF" w:rsidRPr="009A5579" w14:paraId="78B372CD" w14:textId="77777777">
        <w:trPr>
          <w:trHeight w:val="20"/>
          <w:jc w:val="center"/>
        </w:trPr>
        <w:tc>
          <w:tcPr>
            <w:tcW w:w="2965" w:type="dxa"/>
          </w:tcPr>
          <w:p w14:paraId="78B372C6" w14:textId="77777777" w:rsidR="002617CF" w:rsidRDefault="00000000">
            <w:pPr>
              <w:pStyle w:val="ListParagraph3"/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5. Deficiências na monitoria do Estado do Ambiente</w:t>
            </w:r>
          </w:p>
        </w:tc>
        <w:tc>
          <w:tcPr>
            <w:tcW w:w="5675" w:type="dxa"/>
          </w:tcPr>
          <w:p w14:paraId="78B372C7" w14:textId="7417C0A2" w:rsidR="002617CF" w:rsidRPr="0054776B" w:rsidRDefault="0000000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</w:pPr>
            <w:r w:rsidRPr="0054776B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 xml:space="preserve">Na </w:t>
            </w:r>
            <w:r w:rsidR="0054776B" w:rsidRPr="0054776B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Política</w:t>
            </w:r>
            <w:r w:rsidRPr="0054776B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:</w:t>
            </w:r>
          </w:p>
          <w:p w14:paraId="78B372C8" w14:textId="77777777" w:rsidR="002617CF" w:rsidRDefault="0000000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1. Estabelecer o Laboratório Ambiental</w:t>
            </w:r>
          </w:p>
          <w:p w14:paraId="78B372C9" w14:textId="77777777" w:rsidR="002617CF" w:rsidRDefault="0000000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2. Actualizar e harmonizar os indicadores ambientais</w:t>
            </w:r>
          </w:p>
          <w:p w14:paraId="78B372CA" w14:textId="77777777" w:rsidR="002617CF" w:rsidRDefault="00000000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3. Instituir a produção dos Relatórios de Estado do Ambiente e Clima, e Relatórios do Estado do Ordenamento do Território com a regularidade definida por lei</w:t>
            </w:r>
          </w:p>
          <w:p w14:paraId="78B372CB" w14:textId="77777777" w:rsidR="002617CF" w:rsidRDefault="00000000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4. Monitorar a implementação dos Planos de Redução de Emissões de Gases com Efeito de Estufa</w:t>
            </w:r>
          </w:p>
        </w:tc>
        <w:tc>
          <w:tcPr>
            <w:tcW w:w="4945" w:type="dxa"/>
          </w:tcPr>
          <w:p w14:paraId="78B372CC" w14:textId="77777777" w:rsidR="002617CF" w:rsidRDefault="002617CF">
            <w:pPr>
              <w:ind w:left="0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2617CF" w:rsidRPr="000F3022" w14:paraId="78B372CF" w14:textId="77777777">
        <w:trPr>
          <w:trHeight w:val="20"/>
          <w:jc w:val="center"/>
        </w:trPr>
        <w:tc>
          <w:tcPr>
            <w:tcW w:w="13585" w:type="dxa"/>
            <w:gridSpan w:val="3"/>
            <w:shd w:val="clear" w:color="auto" w:fill="95DCF7" w:themeFill="accent4" w:themeFillTint="66"/>
          </w:tcPr>
          <w:p w14:paraId="78B372CE" w14:textId="77777777" w:rsidR="002617CF" w:rsidRPr="000F3022" w:rsidRDefault="00000000">
            <w:pPr>
              <w:jc w:val="center"/>
              <w:rPr>
                <w:rFonts w:cs="Calibri"/>
                <w:b/>
                <w:bCs/>
                <w:kern w:val="0"/>
                <w:sz w:val="24"/>
                <w:lang w:val="pt-PT"/>
                <w14:ligatures w14:val="none"/>
              </w:rPr>
            </w:pPr>
            <w:r w:rsidRPr="000F3022">
              <w:rPr>
                <w:rFonts w:cs="Calibri"/>
                <w:b/>
                <w:bCs/>
                <w:kern w:val="0"/>
                <w:sz w:val="24"/>
                <w:lang w:val="pt-PT"/>
                <w14:ligatures w14:val="none"/>
              </w:rPr>
              <w:lastRenderedPageBreak/>
              <w:t>Aspectos Socio-económicos</w:t>
            </w:r>
          </w:p>
        </w:tc>
      </w:tr>
      <w:tr w:rsidR="002617CF" w:rsidRPr="009A5579" w14:paraId="78B372D5" w14:textId="77777777">
        <w:trPr>
          <w:trHeight w:val="20"/>
          <w:jc w:val="center"/>
        </w:trPr>
        <w:tc>
          <w:tcPr>
            <w:tcW w:w="2965" w:type="dxa"/>
            <w:vMerge w:val="restart"/>
          </w:tcPr>
          <w:p w14:paraId="78B372D0" w14:textId="77777777" w:rsidR="002617CF" w:rsidRDefault="00000000">
            <w:pPr>
              <w:pStyle w:val="ListParagraph3"/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1. Fraca dotação orçamental pública ao sector do ambiente, agravada pela grande dependência do país em relação ao financiamento externo</w:t>
            </w:r>
          </w:p>
        </w:tc>
        <w:tc>
          <w:tcPr>
            <w:tcW w:w="5675" w:type="dxa"/>
          </w:tcPr>
          <w:p w14:paraId="78B372D1" w14:textId="77777777" w:rsidR="002617CF" w:rsidRPr="00CB6732" w:rsidRDefault="0000000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iCs/>
                <w:sz w:val="20"/>
                <w:szCs w:val="20"/>
                <w:lang w:val="en-GB"/>
              </w:rPr>
            </w:pPr>
            <w:r w:rsidRPr="00CB6732">
              <w:rPr>
                <w:rFonts w:cs="Calibri"/>
                <w:b/>
                <w:bCs/>
                <w:iCs/>
                <w:sz w:val="20"/>
                <w:szCs w:val="20"/>
                <w:u w:val="single"/>
                <w:lang w:val="en-GB"/>
              </w:rPr>
              <w:t>Na Lei</w:t>
            </w:r>
            <w:r w:rsidRPr="00CB6732">
              <w:rPr>
                <w:rFonts w:cs="Calibri"/>
                <w:b/>
                <w:bCs/>
                <w:iCs/>
                <w:sz w:val="20"/>
                <w:szCs w:val="20"/>
                <w:lang w:val="en-GB"/>
              </w:rPr>
              <w:t>:</w:t>
            </w:r>
          </w:p>
          <w:p w14:paraId="78B372D2" w14:textId="77777777" w:rsidR="002617CF" w:rsidRDefault="00000000">
            <w:pPr>
              <w:pStyle w:val="ListParagraph3"/>
              <w:numPr>
                <w:ilvl w:val="0"/>
                <w:numId w:val="2"/>
              </w:numPr>
              <w:spacing w:before="0" w:beforeAutospacing="0" w:line="240" w:lineRule="auto"/>
              <w:jc w:val="both"/>
              <w:rPr>
                <w:rFonts w:cs="Calibri"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iCs/>
                <w:sz w:val="20"/>
                <w:szCs w:val="20"/>
                <w:lang w:val="pt-PT"/>
              </w:rPr>
              <w:t>Elaborar planos e orçamentos com prioridade nacional;</w:t>
            </w:r>
          </w:p>
          <w:p w14:paraId="78B372D3" w14:textId="77777777" w:rsidR="002617CF" w:rsidRDefault="00000000">
            <w:pPr>
              <w:pStyle w:val="ListParagraph3"/>
              <w:numPr>
                <w:ilvl w:val="0"/>
                <w:numId w:val="2"/>
              </w:numPr>
              <w:spacing w:before="0" w:beforeAutospacing="0" w:line="240" w:lineRule="auto"/>
              <w:jc w:val="both"/>
              <w:rPr>
                <w:rFonts w:cs="Calibri"/>
                <w:b/>
                <w:bCs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iCs/>
                <w:sz w:val="20"/>
                <w:szCs w:val="20"/>
                <w:lang w:val="pt-PT"/>
              </w:rPr>
              <w:t>Prever dotações especificas à conservação e protecção ambiental.</w:t>
            </w:r>
          </w:p>
        </w:tc>
        <w:tc>
          <w:tcPr>
            <w:tcW w:w="4945" w:type="dxa"/>
          </w:tcPr>
          <w:p w14:paraId="78B372D4" w14:textId="77777777" w:rsidR="002617CF" w:rsidRDefault="002617CF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2617CF" w:rsidRPr="009A5579" w14:paraId="78B372DD" w14:textId="77777777">
        <w:trPr>
          <w:trHeight w:val="20"/>
          <w:jc w:val="center"/>
        </w:trPr>
        <w:tc>
          <w:tcPr>
            <w:tcW w:w="2965" w:type="dxa"/>
            <w:vMerge/>
          </w:tcPr>
          <w:p w14:paraId="78B372D6" w14:textId="77777777" w:rsidR="002617CF" w:rsidRDefault="002617CF">
            <w:pPr>
              <w:pStyle w:val="ListParagraph3"/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78B372D7" w14:textId="2895ED7B" w:rsidR="002617CF" w:rsidRPr="00CB6732" w:rsidRDefault="0000000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</w:pPr>
            <w:r w:rsidRPr="00CB6732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 xml:space="preserve">Na </w:t>
            </w:r>
            <w:r w:rsidR="00CB6732" w:rsidRPr="00CB6732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Política</w:t>
            </w:r>
            <w:r w:rsidRPr="00CB6732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:</w:t>
            </w:r>
          </w:p>
          <w:p w14:paraId="78B372D8" w14:textId="77777777" w:rsidR="002617CF" w:rsidRDefault="0000000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1. Reforçar os mecanismos de financiamento ambiental sustentáveis, tais como taxas e impostos ambientais, créditos de carbono, títulos verdes (green bonds), Pagamentos por produtos e Serviços Ambientais (PSA), entre outros</w:t>
            </w:r>
          </w:p>
          <w:p w14:paraId="78B372D9" w14:textId="77777777" w:rsidR="002617CF" w:rsidRDefault="0000000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2. Assegurar uma dotação financeira ao Sector do Ambiente correspondente a, pelo menos, 2.5% do PIB nacional</w:t>
            </w:r>
          </w:p>
          <w:p w14:paraId="78B372DA" w14:textId="77777777" w:rsidR="002617CF" w:rsidRDefault="0000000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3. Criar um Fundo dedicado a gestão e canalização das receitas provenientes do sector do Ambiente</w:t>
            </w:r>
          </w:p>
          <w:p w14:paraId="78B372DB" w14:textId="77777777" w:rsidR="002617CF" w:rsidRDefault="0000000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4. Estimular parcerias estratégicas com o sector privado, a sociedade civil e a academia, para mobilizar recursos, inovação e investimento em iniciativas ambientais, por meio de incentivos fiscais e económicos, critérios de aquisições públicas sustentáveis, entre outros</w:t>
            </w:r>
          </w:p>
        </w:tc>
        <w:tc>
          <w:tcPr>
            <w:tcW w:w="4945" w:type="dxa"/>
          </w:tcPr>
          <w:p w14:paraId="78B372DC" w14:textId="77777777" w:rsidR="002617CF" w:rsidRDefault="002617CF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2617CF" w:rsidRPr="009A5579" w14:paraId="78B372E3" w14:textId="77777777">
        <w:trPr>
          <w:trHeight w:val="20"/>
          <w:jc w:val="center"/>
        </w:trPr>
        <w:tc>
          <w:tcPr>
            <w:tcW w:w="2965" w:type="dxa"/>
            <w:vMerge w:val="restart"/>
          </w:tcPr>
          <w:p w14:paraId="78B372DE" w14:textId="77777777" w:rsidR="002617CF" w:rsidRDefault="00000000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4. Falta de incentivos às práticas de produção amigas do ambiente</w:t>
            </w:r>
          </w:p>
        </w:tc>
        <w:tc>
          <w:tcPr>
            <w:tcW w:w="5675" w:type="dxa"/>
          </w:tcPr>
          <w:p w14:paraId="78B372DF" w14:textId="77777777" w:rsidR="002617CF" w:rsidRPr="008A06BF" w:rsidRDefault="0000000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iCs/>
                <w:sz w:val="20"/>
                <w:szCs w:val="20"/>
                <w:u w:val="single"/>
                <w:lang w:val="pt-PT"/>
              </w:rPr>
            </w:pPr>
            <w:r w:rsidRPr="008A06BF">
              <w:rPr>
                <w:rFonts w:cs="Calibri"/>
                <w:b/>
                <w:bCs/>
                <w:iCs/>
                <w:sz w:val="20"/>
                <w:szCs w:val="20"/>
                <w:u w:val="single"/>
                <w:lang w:val="pt-PT"/>
              </w:rPr>
              <w:t>Na Lei:</w:t>
            </w:r>
          </w:p>
          <w:p w14:paraId="78B372E0" w14:textId="77777777" w:rsidR="002617CF" w:rsidRDefault="0000000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iCs/>
                <w:sz w:val="20"/>
                <w:szCs w:val="20"/>
                <w:lang w:val="pt-PT"/>
              </w:rPr>
              <w:t>1. Incentivos – estabelece-se a previsão de criação de incentivos económicos e fiscais ou de outra natureza com vista a encorajar a utilização de tecnologias e processos produtivos ambientalmente sãos.</w:t>
            </w:r>
          </w:p>
          <w:p w14:paraId="78B372E1" w14:textId="77777777" w:rsidR="002617CF" w:rsidRDefault="0000000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iCs/>
                <w:sz w:val="20"/>
                <w:szCs w:val="20"/>
                <w:lang w:val="pt-PT"/>
              </w:rPr>
              <w:t>2. Definição de incentivos para estudos e pesquisas de tecnologias orientadas para o uso racional e a protecção das componentes ambientais.</w:t>
            </w:r>
          </w:p>
        </w:tc>
        <w:tc>
          <w:tcPr>
            <w:tcW w:w="4945" w:type="dxa"/>
          </w:tcPr>
          <w:p w14:paraId="78B372E2" w14:textId="77777777" w:rsidR="002617CF" w:rsidRDefault="002617CF">
            <w:pPr>
              <w:ind w:left="0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2617CF" w:rsidRPr="009A5579" w14:paraId="78B372EA" w14:textId="77777777">
        <w:trPr>
          <w:trHeight w:val="20"/>
          <w:jc w:val="center"/>
        </w:trPr>
        <w:tc>
          <w:tcPr>
            <w:tcW w:w="2965" w:type="dxa"/>
            <w:vMerge/>
          </w:tcPr>
          <w:p w14:paraId="78B372E4" w14:textId="77777777" w:rsidR="002617CF" w:rsidRDefault="002617CF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78B372E5" w14:textId="05C5A255" w:rsidR="002617CF" w:rsidRPr="008A06BF" w:rsidRDefault="0000000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</w:pPr>
            <w:r w:rsidRPr="008A06BF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 xml:space="preserve">Na </w:t>
            </w:r>
            <w:r w:rsidR="008A06BF" w:rsidRPr="008A06BF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Política</w:t>
            </w:r>
            <w:r w:rsidRPr="008A06BF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:</w:t>
            </w:r>
          </w:p>
          <w:p w14:paraId="78B372E6" w14:textId="77777777" w:rsidR="002617CF" w:rsidRDefault="0000000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 xml:space="preserve">1. Promover certificação, rotulagem e incentivos fiscais para empresas que adoptem práticas ambientalmente limpas </w:t>
            </w:r>
          </w:p>
          <w:p w14:paraId="78B372E7" w14:textId="77777777" w:rsidR="002617CF" w:rsidRDefault="0000000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2. Criar mecanismos de compensação ambiental e seguro de responsabilidade ambiental para actividades potencialmente geradoras de impactos ambientais negativos de grande magnitude</w:t>
            </w:r>
          </w:p>
          <w:p w14:paraId="78B372E8" w14:textId="77777777" w:rsidR="002617CF" w:rsidRDefault="0000000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3. Integrar cláusulas ambientais robustas em acordos comerciais</w:t>
            </w:r>
          </w:p>
        </w:tc>
        <w:tc>
          <w:tcPr>
            <w:tcW w:w="4945" w:type="dxa"/>
          </w:tcPr>
          <w:p w14:paraId="78B372E9" w14:textId="77777777" w:rsidR="002617CF" w:rsidRDefault="002617CF">
            <w:pPr>
              <w:ind w:left="0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CC20A4" w:rsidRPr="009A5579" w14:paraId="1B6A5BE1" w14:textId="77777777">
        <w:trPr>
          <w:trHeight w:val="20"/>
          <w:jc w:val="center"/>
        </w:trPr>
        <w:tc>
          <w:tcPr>
            <w:tcW w:w="2965" w:type="dxa"/>
            <w:vMerge w:val="restart"/>
          </w:tcPr>
          <w:p w14:paraId="134E9652" w14:textId="24C1F81D" w:rsidR="00CC20A4" w:rsidRDefault="00CC20A4" w:rsidP="00CC20A4">
            <w:pPr>
              <w:pStyle w:val="ListParagraph3"/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lastRenderedPageBreak/>
              <w:t>5. Fraca adopção de tecnologias limpas e soluções inovadoras</w:t>
            </w:r>
          </w:p>
        </w:tc>
        <w:tc>
          <w:tcPr>
            <w:tcW w:w="5675" w:type="dxa"/>
          </w:tcPr>
          <w:p w14:paraId="5A6D72A9" w14:textId="77777777" w:rsidR="00CC20A4" w:rsidRPr="00454402" w:rsidRDefault="00CC20A4" w:rsidP="00CC20A4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iCs/>
                <w:sz w:val="20"/>
                <w:szCs w:val="20"/>
                <w:u w:val="single"/>
                <w:lang w:val="pt-PT"/>
              </w:rPr>
            </w:pPr>
            <w:r w:rsidRPr="00454402">
              <w:rPr>
                <w:rFonts w:cs="Calibri"/>
                <w:b/>
                <w:bCs/>
                <w:iCs/>
                <w:sz w:val="20"/>
                <w:szCs w:val="20"/>
                <w:u w:val="single"/>
                <w:lang w:val="pt-PT"/>
              </w:rPr>
              <w:t>Na Lei:</w:t>
            </w:r>
          </w:p>
          <w:p w14:paraId="33D4A9AB" w14:textId="77777777" w:rsidR="00CC20A4" w:rsidRDefault="00CC20A4" w:rsidP="00CC20A4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iCs/>
                <w:sz w:val="20"/>
                <w:szCs w:val="20"/>
                <w:lang w:val="pt-PT"/>
              </w:rPr>
              <w:t>1. Incentivos – estabelece-se a previsão de criação de incentivos económicos e fiscais ou de outra natureza com vista a encorajar a utilização de tecnologias e processos produtivos ambientalmente sãos.</w:t>
            </w:r>
          </w:p>
          <w:p w14:paraId="48E97D96" w14:textId="007DCAA9" w:rsidR="00CC20A4" w:rsidRPr="003328FB" w:rsidRDefault="00CC20A4" w:rsidP="00CC20A4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iCs/>
                <w:sz w:val="20"/>
                <w:szCs w:val="20"/>
                <w:u w:val="single"/>
                <w:lang w:val="pt-PT"/>
              </w:rPr>
            </w:pPr>
            <w:r>
              <w:rPr>
                <w:rFonts w:cs="Calibri"/>
                <w:iCs/>
                <w:sz w:val="20"/>
                <w:szCs w:val="20"/>
                <w:lang w:val="pt-PT"/>
              </w:rPr>
              <w:t>2. Definição de incentivos para estudos e pesquisas de tecnologias orientadas para o uso racional e a protecção das componentes ambientais.</w:t>
            </w:r>
          </w:p>
        </w:tc>
        <w:tc>
          <w:tcPr>
            <w:tcW w:w="4945" w:type="dxa"/>
          </w:tcPr>
          <w:p w14:paraId="4083CD5E" w14:textId="77777777" w:rsidR="00CC20A4" w:rsidRDefault="00CC20A4" w:rsidP="00CC20A4">
            <w:pPr>
              <w:ind w:left="0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CC20A4" w:rsidRPr="009A5579" w14:paraId="78B372F5" w14:textId="77777777">
        <w:trPr>
          <w:trHeight w:val="20"/>
          <w:jc w:val="center"/>
        </w:trPr>
        <w:tc>
          <w:tcPr>
            <w:tcW w:w="2965" w:type="dxa"/>
            <w:vMerge/>
          </w:tcPr>
          <w:p w14:paraId="78B372EB" w14:textId="6B4B1200" w:rsidR="00CC20A4" w:rsidRDefault="00CC20A4" w:rsidP="00CC20A4">
            <w:pPr>
              <w:pStyle w:val="ListParagraph3"/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114421A8" w14:textId="77777777" w:rsidR="00CC20A4" w:rsidRPr="00454402" w:rsidRDefault="00CC20A4" w:rsidP="00CC20A4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</w:pPr>
            <w:r w:rsidRPr="00454402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Na Política:</w:t>
            </w:r>
          </w:p>
          <w:p w14:paraId="7DCBEAFE" w14:textId="77777777" w:rsidR="00CC20A4" w:rsidRDefault="00CC20A4" w:rsidP="00CC20A4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1. Estimular a implementação do Plano de Transição Energética para Fontes Renováveis</w:t>
            </w:r>
          </w:p>
          <w:p w14:paraId="1302FE9F" w14:textId="77777777" w:rsidR="00CC20A4" w:rsidRDefault="00CC20A4" w:rsidP="00CC20A4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2. Prosseguir com a implementação de projectos estruturantes de energias renováveis (solar, eólica, hídrica e outras), com especial atenção à electrificação universal</w:t>
            </w:r>
          </w:p>
          <w:p w14:paraId="74EEE669" w14:textId="77777777" w:rsidR="00CC20A4" w:rsidRDefault="00CC20A4" w:rsidP="00CC20A4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3. Promover a descarbonização progressiva dos sectores de energia, transportes e processos industriais, em conformidade com o preconizado nas Contribuições Nacionalmente Determinadas (NDC)</w:t>
            </w:r>
          </w:p>
          <w:p w14:paraId="0C0A4362" w14:textId="77777777" w:rsidR="00CC20A4" w:rsidRDefault="00CC20A4" w:rsidP="00CC20A4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4. Incentivar parcerias público-privadas para investimento em energias renováveis e eficiência energética, com regulação adequada e mecanismos de monitoria e reporte</w:t>
            </w:r>
          </w:p>
          <w:p w14:paraId="00C7B62F" w14:textId="77777777" w:rsidR="00CC20A4" w:rsidRDefault="00CC20A4" w:rsidP="00CC20A4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5. Promover a economia circular e negócios verdes baseados na reciclagem e valorização de resíduos sólidos, efluentes e  lixo marinho</w:t>
            </w:r>
          </w:p>
          <w:p w14:paraId="08A4E9AB" w14:textId="77777777" w:rsidR="00CC20A4" w:rsidRDefault="00CC20A4" w:rsidP="00CC20A4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5. Integrar a componente mobilidade urbana sustentável (transporte público, ciclovias, passeios) nos IOTs de nível autárquico</w:t>
            </w:r>
          </w:p>
          <w:p w14:paraId="78B372F3" w14:textId="39A4E844" w:rsidR="00CC20A4" w:rsidRDefault="00CC20A4" w:rsidP="00CC20A4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6. Estabelecer cidades verdes e introdução de transporte urbano colectivo verde</w:t>
            </w:r>
          </w:p>
        </w:tc>
        <w:tc>
          <w:tcPr>
            <w:tcW w:w="4945" w:type="dxa"/>
          </w:tcPr>
          <w:p w14:paraId="78B372F4" w14:textId="77777777" w:rsidR="00CC20A4" w:rsidRDefault="00CC20A4" w:rsidP="00CC20A4">
            <w:pPr>
              <w:ind w:left="0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2617CF" w:rsidRPr="009A5579" w14:paraId="78B372FA" w14:textId="77777777">
        <w:trPr>
          <w:trHeight w:val="20"/>
          <w:jc w:val="center"/>
        </w:trPr>
        <w:tc>
          <w:tcPr>
            <w:tcW w:w="2965" w:type="dxa"/>
            <w:vMerge w:val="restart"/>
          </w:tcPr>
          <w:p w14:paraId="78B372F6" w14:textId="77777777" w:rsidR="002617CF" w:rsidRDefault="00000000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6. Fraca participação pública na governação ambiental</w:t>
            </w:r>
          </w:p>
        </w:tc>
        <w:tc>
          <w:tcPr>
            <w:tcW w:w="5675" w:type="dxa"/>
          </w:tcPr>
          <w:p w14:paraId="78B372F7" w14:textId="77777777" w:rsidR="002617CF" w:rsidRPr="0099070A" w:rsidRDefault="0000000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iCs/>
                <w:sz w:val="20"/>
                <w:szCs w:val="20"/>
                <w:u w:val="single"/>
                <w:lang w:val="pt-PT"/>
              </w:rPr>
            </w:pPr>
            <w:r w:rsidRPr="0099070A">
              <w:rPr>
                <w:rFonts w:cs="Calibri"/>
                <w:b/>
                <w:bCs/>
                <w:iCs/>
                <w:sz w:val="20"/>
                <w:szCs w:val="20"/>
                <w:u w:val="single"/>
                <w:lang w:val="pt-PT"/>
              </w:rPr>
              <w:t>Na Lei:</w:t>
            </w:r>
          </w:p>
          <w:p w14:paraId="78B372F8" w14:textId="77777777" w:rsidR="002617CF" w:rsidRDefault="0000000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iCs/>
                <w:sz w:val="20"/>
                <w:szCs w:val="20"/>
                <w:lang w:val="pt-PT"/>
              </w:rPr>
              <w:t>Estabelece-se um capítulo sobre participação pública que abre espaço para a intervenção de todas as partes interessadas no processo de gestão e tomada de decisão sobre questões ambientais e de mudanças climáticas</w:t>
            </w:r>
          </w:p>
        </w:tc>
        <w:tc>
          <w:tcPr>
            <w:tcW w:w="4945" w:type="dxa"/>
          </w:tcPr>
          <w:p w14:paraId="78B372F9" w14:textId="77777777" w:rsidR="002617CF" w:rsidRDefault="002617CF">
            <w:pPr>
              <w:ind w:left="0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2617CF" w:rsidRPr="009A5579" w14:paraId="78B37304" w14:textId="77777777">
        <w:trPr>
          <w:trHeight w:val="20"/>
          <w:jc w:val="center"/>
        </w:trPr>
        <w:tc>
          <w:tcPr>
            <w:tcW w:w="2965" w:type="dxa"/>
            <w:vMerge/>
          </w:tcPr>
          <w:p w14:paraId="78B372FB" w14:textId="77777777" w:rsidR="002617CF" w:rsidRDefault="002617CF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78B372FC" w14:textId="134523C2" w:rsidR="002617CF" w:rsidRPr="0099070A" w:rsidRDefault="0000000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</w:pPr>
            <w:r w:rsidRPr="0099070A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 xml:space="preserve">Na </w:t>
            </w:r>
            <w:r w:rsidR="0099070A" w:rsidRPr="0099070A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Política</w:t>
            </w:r>
            <w:r w:rsidRPr="0099070A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:</w:t>
            </w:r>
          </w:p>
          <w:p w14:paraId="78B372FD" w14:textId="77777777" w:rsidR="002617CF" w:rsidRDefault="0000000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1. Promover a participação comunitária efectiva e informada no processo de gestão ambiental, assegurando representatividade e responsabilidade compartilhada</w:t>
            </w:r>
          </w:p>
          <w:p w14:paraId="78B372FE" w14:textId="77777777" w:rsidR="002617CF" w:rsidRDefault="0000000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lastRenderedPageBreak/>
              <w:t>2. Mapear, sistematizar e reconhecer práticas e conhecimentos tradicionais para a adaptação climática</w:t>
            </w:r>
          </w:p>
          <w:p w14:paraId="78B372FF" w14:textId="77777777" w:rsidR="002617CF" w:rsidRDefault="0000000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3. Estabelecer mecanismos de diálogo a todos os níveis, assegurando representação de sociedade civil, sector privado, academia, comunidades locais, mulher, jovens e pessoas com deficiência e outros grupos vulneráveis</w:t>
            </w:r>
          </w:p>
          <w:p w14:paraId="78B37300" w14:textId="77777777" w:rsidR="002617CF" w:rsidRDefault="0000000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4. Fortalecer a participação da mulher, jovens e pessoas com deficiência na governação ambiental, com metas de equidade para sua integração</w:t>
            </w:r>
          </w:p>
          <w:p w14:paraId="78B37301" w14:textId="77777777" w:rsidR="002617CF" w:rsidRDefault="0000000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5. Promover campanhas nacionais de sensibilização e educação ambiental, com recurso as Tecnologias de Informação e Comunicação, integrando línguas e órgãos de comunicação locais</w:t>
            </w:r>
          </w:p>
          <w:p w14:paraId="78B37302" w14:textId="77777777" w:rsidR="002617CF" w:rsidRDefault="0000000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6. Institucionalizar sistemas de monitoria e avaliação participativa em todo o processo de gestão ambiental</w:t>
            </w:r>
          </w:p>
        </w:tc>
        <w:tc>
          <w:tcPr>
            <w:tcW w:w="4945" w:type="dxa"/>
          </w:tcPr>
          <w:p w14:paraId="78B37303" w14:textId="77777777" w:rsidR="002617CF" w:rsidRDefault="002617CF">
            <w:pPr>
              <w:ind w:left="0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2617CF" w:rsidRPr="00794B32" w14:paraId="78B37306" w14:textId="77777777">
        <w:trPr>
          <w:trHeight w:val="20"/>
          <w:jc w:val="center"/>
        </w:trPr>
        <w:tc>
          <w:tcPr>
            <w:tcW w:w="13585" w:type="dxa"/>
            <w:gridSpan w:val="3"/>
            <w:shd w:val="clear" w:color="auto" w:fill="95DCF7" w:themeFill="accent4" w:themeFillTint="66"/>
          </w:tcPr>
          <w:p w14:paraId="78B37305" w14:textId="77777777" w:rsidR="002617CF" w:rsidRPr="00794B32" w:rsidRDefault="00000000">
            <w:pPr>
              <w:jc w:val="center"/>
              <w:rPr>
                <w:rFonts w:cs="Calibri"/>
                <w:kern w:val="0"/>
                <w:sz w:val="24"/>
                <w:lang w:val="pt-PT"/>
                <w14:ligatures w14:val="none"/>
              </w:rPr>
            </w:pPr>
            <w:r w:rsidRPr="00794B32">
              <w:rPr>
                <w:rFonts w:cs="Calibri"/>
                <w:b/>
                <w:bCs/>
                <w:kern w:val="0"/>
                <w:sz w:val="24"/>
                <w:lang w:val="pt-PT"/>
                <w14:ligatures w14:val="none"/>
              </w:rPr>
              <w:t>Aspectos Ecológicos e Climáticos</w:t>
            </w:r>
          </w:p>
        </w:tc>
      </w:tr>
      <w:tr w:rsidR="002617CF" w:rsidRPr="009A5579" w14:paraId="78B3730B" w14:textId="77777777">
        <w:trPr>
          <w:trHeight w:val="20"/>
          <w:jc w:val="center"/>
        </w:trPr>
        <w:tc>
          <w:tcPr>
            <w:tcW w:w="2965" w:type="dxa"/>
            <w:vMerge w:val="restart"/>
          </w:tcPr>
          <w:p w14:paraId="78B37307" w14:textId="77777777" w:rsidR="002617CF" w:rsidRDefault="00000000">
            <w:pPr>
              <w:pStyle w:val="ListParagraph3"/>
              <w:spacing w:line="240" w:lineRule="auto"/>
              <w:ind w:left="0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1. Fraca capacidade de adaptação e mitigação</w:t>
            </w:r>
          </w:p>
        </w:tc>
        <w:tc>
          <w:tcPr>
            <w:tcW w:w="5675" w:type="dxa"/>
          </w:tcPr>
          <w:p w14:paraId="78B37308" w14:textId="77777777" w:rsidR="002617CF" w:rsidRPr="00794B32" w:rsidRDefault="0000000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</w:pPr>
            <w:r w:rsidRPr="00794B32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Na Lei:</w:t>
            </w:r>
          </w:p>
          <w:p w14:paraId="78B37309" w14:textId="77777777" w:rsidR="002617CF" w:rsidRDefault="0000000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Criou-se um capítulo dedicado às Mudanças Climáticas, que inclui e regula os Instrumentos de implementação das acções de Mitigação e Adaptação.</w:t>
            </w:r>
          </w:p>
        </w:tc>
        <w:tc>
          <w:tcPr>
            <w:tcW w:w="4945" w:type="dxa"/>
          </w:tcPr>
          <w:p w14:paraId="78B3730A" w14:textId="77777777" w:rsidR="002617CF" w:rsidRDefault="002617CF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2617CF" w:rsidRPr="009A5579" w14:paraId="78B37317" w14:textId="77777777">
        <w:trPr>
          <w:trHeight w:val="20"/>
          <w:jc w:val="center"/>
        </w:trPr>
        <w:tc>
          <w:tcPr>
            <w:tcW w:w="2965" w:type="dxa"/>
            <w:vMerge/>
          </w:tcPr>
          <w:p w14:paraId="78B3730C" w14:textId="77777777" w:rsidR="002617CF" w:rsidRDefault="002617CF">
            <w:pPr>
              <w:pStyle w:val="ListParagraph3"/>
              <w:spacing w:line="240" w:lineRule="auto"/>
              <w:ind w:left="0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78B3730D" w14:textId="17CC7E56" w:rsidR="002617CF" w:rsidRPr="00794B32" w:rsidRDefault="0000000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</w:pPr>
            <w:r w:rsidRPr="00794B32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 xml:space="preserve">Na </w:t>
            </w:r>
            <w:r w:rsidR="00794B32" w:rsidRPr="00794B32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Política</w:t>
            </w:r>
            <w:r w:rsidRPr="00794B32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:</w:t>
            </w:r>
          </w:p>
          <w:p w14:paraId="78B3730E" w14:textId="77777777" w:rsidR="002617CF" w:rsidRDefault="0000000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1. Assegurar que o planeamento territorial incorpore critérios de mitigação e adaptação às mudanças climáticas</w:t>
            </w:r>
          </w:p>
          <w:p w14:paraId="78B3730F" w14:textId="77777777" w:rsidR="002617CF" w:rsidRDefault="0000000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2. Elaborar e implementar planos nacionais e locais de adaptação às mudanças  climáticas</w:t>
            </w:r>
          </w:p>
          <w:p w14:paraId="78B37310" w14:textId="77777777" w:rsidR="002617CF" w:rsidRDefault="0000000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3. Integrar os planos de adaptação às mudanças climáticas nos instrumentos de ordenamento do território e nos planos e programas de desenvolvimento a todos os níveis</w:t>
            </w:r>
          </w:p>
          <w:p w14:paraId="78B37311" w14:textId="77777777" w:rsidR="002617CF" w:rsidRDefault="0000000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4. Estabelecer comités locais de gestão de risco com ligação institucional formal</w:t>
            </w:r>
          </w:p>
          <w:p w14:paraId="78B37312" w14:textId="77777777" w:rsidR="002617CF" w:rsidRDefault="0000000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5. Institucionalizar programas permanentes de educação e sensibilização comunitária sobre prevenção, preparação e resposta, em articulação com escolas, autoridades locais e mecanismos de gestão comunitária de risco</w:t>
            </w:r>
          </w:p>
          <w:p w14:paraId="78B37313" w14:textId="77777777" w:rsidR="002617CF" w:rsidRDefault="0000000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7. Estabelecer a obrigatoriedade da resiliência climática no desenho e construção de todas as infra-estruturas públicas e privadas</w:t>
            </w:r>
          </w:p>
          <w:p w14:paraId="78B37314" w14:textId="77777777" w:rsidR="002617CF" w:rsidRDefault="0000000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lastRenderedPageBreak/>
              <w:t>8. Reforçar o papel dos centros distritais de aviso prévio e emergência, articulados com comités locais de gestão de risco e com o sistema nacional de gestão e redução de desastres</w:t>
            </w:r>
          </w:p>
          <w:p w14:paraId="78B37315" w14:textId="77777777" w:rsidR="002617CF" w:rsidRDefault="0000000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9. Formar lideranças comunitárias e organizações de base em adaptação e resiliência climática</w:t>
            </w:r>
          </w:p>
        </w:tc>
        <w:tc>
          <w:tcPr>
            <w:tcW w:w="4945" w:type="dxa"/>
          </w:tcPr>
          <w:p w14:paraId="78B37316" w14:textId="77777777" w:rsidR="002617CF" w:rsidRDefault="002617CF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2617CF" w:rsidRPr="009A5579" w14:paraId="78B3731D" w14:textId="77777777">
        <w:trPr>
          <w:trHeight w:val="20"/>
          <w:jc w:val="center"/>
        </w:trPr>
        <w:tc>
          <w:tcPr>
            <w:tcW w:w="2965" w:type="dxa"/>
            <w:vMerge w:val="restart"/>
          </w:tcPr>
          <w:p w14:paraId="78B37318" w14:textId="77777777" w:rsidR="002617CF" w:rsidRDefault="00000000">
            <w:pPr>
              <w:pStyle w:val="ListParagraph3"/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3. Persistência de práticas nocivas na exploração de recursos naturais (mineração, desmatamento, pesca ilegal, queimadas descontroladas)</w:t>
            </w:r>
          </w:p>
        </w:tc>
        <w:tc>
          <w:tcPr>
            <w:tcW w:w="5675" w:type="dxa"/>
          </w:tcPr>
          <w:p w14:paraId="78B37319" w14:textId="77777777" w:rsidR="002617CF" w:rsidRPr="00E774DA" w:rsidRDefault="0000000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</w:pPr>
            <w:r w:rsidRPr="00E774DA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Na Lei:</w:t>
            </w:r>
          </w:p>
          <w:p w14:paraId="78B3731A" w14:textId="778664DF" w:rsidR="002617CF" w:rsidRDefault="00E774DA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1. O capítulo da protecção do meio ambiente reforça as medidas de prevenção e precaução ambiental com vista a reduzir os riscos e os perigos de dano ambiental</w:t>
            </w:r>
          </w:p>
          <w:p w14:paraId="78B3731B" w14:textId="417D14A7" w:rsidR="002617CF" w:rsidRDefault="00E774DA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2. O cap</w:t>
            </w:r>
            <w:r w:rsidR="000A04DE">
              <w:rPr>
                <w:rFonts w:cs="Calibri"/>
                <w:sz w:val="20"/>
                <w:szCs w:val="20"/>
                <w:lang w:val="pt-PT"/>
              </w:rPr>
              <w:t>í</w:t>
            </w:r>
            <w:r>
              <w:rPr>
                <w:rFonts w:cs="Calibri"/>
                <w:sz w:val="20"/>
                <w:szCs w:val="20"/>
                <w:lang w:val="pt-PT"/>
              </w:rPr>
              <w:t xml:space="preserve">tulo da responsabilidade, infracções e sanções também reforça a materialização do </w:t>
            </w:r>
            <w:r w:rsidR="00601860">
              <w:rPr>
                <w:rFonts w:cs="Calibri"/>
                <w:sz w:val="20"/>
                <w:szCs w:val="20"/>
                <w:lang w:val="pt-PT"/>
              </w:rPr>
              <w:t>princípio</w:t>
            </w:r>
            <w:r>
              <w:rPr>
                <w:rFonts w:cs="Calibri"/>
                <w:sz w:val="20"/>
                <w:szCs w:val="20"/>
                <w:lang w:val="pt-PT"/>
              </w:rPr>
              <w:t xml:space="preserve"> do poluidor-pagador, estabelecendo-se as garantias financeiras</w:t>
            </w:r>
          </w:p>
        </w:tc>
        <w:tc>
          <w:tcPr>
            <w:tcW w:w="4945" w:type="dxa"/>
          </w:tcPr>
          <w:p w14:paraId="78B3731C" w14:textId="77777777" w:rsidR="002617CF" w:rsidRDefault="002617CF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2617CF" w:rsidRPr="009A5579" w14:paraId="78B37326" w14:textId="77777777">
        <w:trPr>
          <w:trHeight w:val="20"/>
          <w:jc w:val="center"/>
        </w:trPr>
        <w:tc>
          <w:tcPr>
            <w:tcW w:w="2965" w:type="dxa"/>
            <w:vMerge/>
          </w:tcPr>
          <w:p w14:paraId="78B3731E" w14:textId="77777777" w:rsidR="002617CF" w:rsidRDefault="002617CF">
            <w:pPr>
              <w:pStyle w:val="ListParagraph3"/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78B3731F" w14:textId="118A323B" w:rsidR="002617CF" w:rsidRPr="00E774DA" w:rsidRDefault="0000000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</w:pPr>
            <w:r w:rsidRPr="00E774DA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 xml:space="preserve">Na </w:t>
            </w:r>
            <w:r w:rsidR="00E774DA" w:rsidRPr="00E774DA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Política</w:t>
            </w:r>
            <w:r w:rsidRPr="00E774DA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:</w:t>
            </w:r>
          </w:p>
          <w:p w14:paraId="78B37320" w14:textId="77777777" w:rsidR="002617CF" w:rsidRDefault="0000000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1. Fiscalização rigorosa da implementação dos planos de gestão ambiental e responsabilização aos infractores</w:t>
            </w:r>
          </w:p>
          <w:p w14:paraId="78B37321" w14:textId="77777777" w:rsidR="002617CF" w:rsidRDefault="0000000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2. Desenvolver cadeias de valor sustentáveis baseadas na biodiversidade (ecoturismo, maneio comunitário da flora e fauna, aquacultura, entre outros)</w:t>
            </w:r>
          </w:p>
          <w:p w14:paraId="78B37322" w14:textId="77777777" w:rsidR="002617CF" w:rsidRDefault="0000000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3. Estimular a produção e uso de insumos ecológicos (rações sustentáveis, adubos verdes, sementes resistentes), reduzindo a pegada de carbono</w:t>
            </w:r>
          </w:p>
          <w:p w14:paraId="78B37323" w14:textId="77777777" w:rsidR="002617CF" w:rsidRDefault="0000000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4. Formar e capacitar comunidades, governos locais e sector privado em práticas sustentáveis de produção, de aproveitamento e de comercialização baseados em baixo carbono e redução de riscos ambientais</w:t>
            </w:r>
          </w:p>
          <w:p w14:paraId="78B37324" w14:textId="77777777" w:rsidR="002617CF" w:rsidRDefault="0000000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5. Criar programas de certificação ambiental e de mercado para produtos sustentáveis de origem agrícola, pecuária, pesqueira e florestal</w:t>
            </w:r>
          </w:p>
        </w:tc>
        <w:tc>
          <w:tcPr>
            <w:tcW w:w="4945" w:type="dxa"/>
          </w:tcPr>
          <w:p w14:paraId="78B37325" w14:textId="77777777" w:rsidR="002617CF" w:rsidRDefault="002617CF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2617CF" w:rsidRPr="009A5579" w14:paraId="78B3732F" w14:textId="77777777">
        <w:trPr>
          <w:trHeight w:val="20"/>
          <w:jc w:val="center"/>
        </w:trPr>
        <w:tc>
          <w:tcPr>
            <w:tcW w:w="2965" w:type="dxa"/>
          </w:tcPr>
          <w:p w14:paraId="78B37327" w14:textId="77777777" w:rsidR="002617CF" w:rsidRDefault="00000000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4. Potenciar a manifesta consciência ambiental em alta, a todos os níveis</w:t>
            </w:r>
          </w:p>
        </w:tc>
        <w:tc>
          <w:tcPr>
            <w:tcW w:w="5675" w:type="dxa"/>
          </w:tcPr>
          <w:p w14:paraId="78B37328" w14:textId="3D26D49F" w:rsidR="002617CF" w:rsidRPr="00E774DA" w:rsidRDefault="00000000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</w:pPr>
            <w:r w:rsidRPr="00E774DA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 xml:space="preserve">Na </w:t>
            </w:r>
            <w:r w:rsidR="00E774DA" w:rsidRPr="00E774DA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Política</w:t>
            </w:r>
            <w:r w:rsidRPr="00E774DA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:</w:t>
            </w:r>
          </w:p>
          <w:p w14:paraId="78B37329" w14:textId="77777777" w:rsidR="002617CF" w:rsidRDefault="00000000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1. Implementar a Estratégia Nacional de Educação Ambiental (ENEA)</w:t>
            </w:r>
          </w:p>
          <w:p w14:paraId="78B3732A" w14:textId="77777777" w:rsidR="002617CF" w:rsidRDefault="00000000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2. Incentivar Programas de Formação e Capacitação em Gestão Ambiental virados aos gestores e técnicos ambientais ao nível provincial, distrital autárquico e comunitário</w:t>
            </w:r>
          </w:p>
          <w:p w14:paraId="78B3732B" w14:textId="77777777" w:rsidR="002617CF" w:rsidRDefault="00000000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3. Promover campanhas massivas de sensibilização ambiental nos media</w:t>
            </w:r>
          </w:p>
          <w:p w14:paraId="78B3732C" w14:textId="77777777" w:rsidR="002617CF" w:rsidRDefault="00000000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lastRenderedPageBreak/>
              <w:t>4. Capacitar jornalistas, comunicadores e líderes comunitários em ambiente e mudanças climáticas</w:t>
            </w:r>
          </w:p>
          <w:p w14:paraId="78B3732D" w14:textId="77777777" w:rsidR="002617CF" w:rsidRDefault="00000000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5. Promover o reconhecimento e atribuição de prémios para a investigação e pesquisa e boas prácticas  ambientais</w:t>
            </w:r>
          </w:p>
        </w:tc>
        <w:tc>
          <w:tcPr>
            <w:tcW w:w="4945" w:type="dxa"/>
          </w:tcPr>
          <w:p w14:paraId="78B3732E" w14:textId="77777777" w:rsidR="002617CF" w:rsidRDefault="002617CF">
            <w:pPr>
              <w:ind w:left="0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2617CF" w:rsidRPr="009A5579" w14:paraId="78B37339" w14:textId="77777777">
        <w:trPr>
          <w:trHeight w:val="20"/>
          <w:jc w:val="center"/>
        </w:trPr>
        <w:tc>
          <w:tcPr>
            <w:tcW w:w="2965" w:type="dxa"/>
          </w:tcPr>
          <w:p w14:paraId="78B37330" w14:textId="77777777" w:rsidR="002617CF" w:rsidRDefault="00000000">
            <w:pPr>
              <w:pStyle w:val="ListParagraph3"/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5. Prevenir, Controlar e Erradicar Espécies Exóticas e Invasoras</w:t>
            </w:r>
          </w:p>
        </w:tc>
        <w:tc>
          <w:tcPr>
            <w:tcW w:w="5675" w:type="dxa"/>
          </w:tcPr>
          <w:p w14:paraId="78B37331" w14:textId="42507C30" w:rsidR="002617CF" w:rsidRPr="00E774DA" w:rsidRDefault="00000000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</w:pPr>
            <w:r w:rsidRPr="00E774DA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 xml:space="preserve">Na </w:t>
            </w:r>
            <w:r w:rsidR="00E774DA" w:rsidRPr="00E774DA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Política</w:t>
            </w:r>
            <w:r w:rsidRPr="00E774DA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:</w:t>
            </w:r>
          </w:p>
          <w:p w14:paraId="78B37332" w14:textId="77777777" w:rsidR="002617CF" w:rsidRDefault="00000000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 xml:space="preserve">1. Mapear e Catalogar as Espécies Exóticas e Invasoras </w:t>
            </w:r>
          </w:p>
          <w:p w14:paraId="78B37333" w14:textId="77777777" w:rsidR="002617CF" w:rsidRDefault="00000000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2. Desenvolver um Plano Nacional de Gestão de Espécies Invasoras</w:t>
            </w:r>
          </w:p>
          <w:p w14:paraId="78B37334" w14:textId="77777777" w:rsidR="002617CF" w:rsidRDefault="00000000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3. Desenvolver uma base de dados nacional de espécies exóticas e invasoras, com sistema de alerta rápido para novas ameaças</w:t>
            </w:r>
          </w:p>
          <w:p w14:paraId="78B37335" w14:textId="77777777" w:rsidR="002617CF" w:rsidRDefault="00000000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4. Sensibilizar agricultores, pescadores, gestores florestais e outros utilizadores sobre identificação, riscos e medidas de gestão de espécies exóticas e invasoras</w:t>
            </w:r>
          </w:p>
          <w:p w14:paraId="78B37336" w14:textId="77777777" w:rsidR="002617CF" w:rsidRDefault="00000000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5. Implementar programas de controlo e erradicação em áreas prioritárias</w:t>
            </w:r>
          </w:p>
          <w:p w14:paraId="78B37337" w14:textId="77777777" w:rsidR="002617CF" w:rsidRDefault="00000000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6. Institucionalizar programas de monitoria contínua em fronteiras, portos e ecossistemas vulneráveis</w:t>
            </w:r>
          </w:p>
        </w:tc>
        <w:tc>
          <w:tcPr>
            <w:tcW w:w="4945" w:type="dxa"/>
          </w:tcPr>
          <w:p w14:paraId="78B37338" w14:textId="77777777" w:rsidR="002617CF" w:rsidRDefault="002617CF">
            <w:pPr>
              <w:ind w:left="0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2617CF" w:rsidRPr="009A5579" w14:paraId="78B37340" w14:textId="77777777">
        <w:trPr>
          <w:trHeight w:val="20"/>
          <w:jc w:val="center"/>
        </w:trPr>
        <w:tc>
          <w:tcPr>
            <w:tcW w:w="2965" w:type="dxa"/>
          </w:tcPr>
          <w:p w14:paraId="78B3733A" w14:textId="77777777" w:rsidR="002617CF" w:rsidRDefault="00000000">
            <w:pPr>
              <w:pStyle w:val="ListParagraph3"/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6. Danos ambientais e de saúde resultantes da introdução dos organismos geneticamente modificados</w:t>
            </w:r>
          </w:p>
        </w:tc>
        <w:tc>
          <w:tcPr>
            <w:tcW w:w="5675" w:type="dxa"/>
          </w:tcPr>
          <w:p w14:paraId="78B3733B" w14:textId="6B62D49A" w:rsidR="002617CF" w:rsidRPr="00E774DA" w:rsidRDefault="00000000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</w:pPr>
            <w:r w:rsidRPr="00E774DA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 xml:space="preserve">Na </w:t>
            </w:r>
            <w:r w:rsidR="00E774DA" w:rsidRPr="00E774DA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Política</w:t>
            </w:r>
            <w:r w:rsidRPr="00E774DA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:</w:t>
            </w:r>
          </w:p>
          <w:p w14:paraId="78B3733C" w14:textId="77777777" w:rsidR="002617CF" w:rsidRDefault="00000000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1. Reforçar a implementação do Regulamento da Biossegurança</w:t>
            </w:r>
          </w:p>
          <w:p w14:paraId="78B3733D" w14:textId="77777777" w:rsidR="002617CF" w:rsidRDefault="00000000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2. Desenvolver campanhas de informação pública sobre riscos e benefícios potenciais dos OGM, promovendo escolhas informadas</w:t>
            </w:r>
          </w:p>
          <w:p w14:paraId="78B3733E" w14:textId="77777777" w:rsidR="002617CF" w:rsidRDefault="00000000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3. Garantir a rastreabilidade e rotulagem obrigatória de produtos alimentares derivados de OGM</w:t>
            </w:r>
          </w:p>
        </w:tc>
        <w:tc>
          <w:tcPr>
            <w:tcW w:w="4945" w:type="dxa"/>
          </w:tcPr>
          <w:p w14:paraId="78B3733F" w14:textId="77777777" w:rsidR="002617CF" w:rsidRDefault="002617CF">
            <w:pPr>
              <w:ind w:left="0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2617CF" w:rsidRPr="009A5579" w14:paraId="78B37346" w14:textId="77777777">
        <w:trPr>
          <w:trHeight w:val="20"/>
          <w:jc w:val="center"/>
        </w:trPr>
        <w:tc>
          <w:tcPr>
            <w:tcW w:w="2965" w:type="dxa"/>
            <w:vMerge w:val="restart"/>
          </w:tcPr>
          <w:p w14:paraId="78B37341" w14:textId="77777777" w:rsidR="002617CF" w:rsidRDefault="00000000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 xml:space="preserve">7. Degradação contínua de ecossistemas e habitats </w:t>
            </w:r>
            <w:r>
              <w:rPr>
                <w:rFonts w:cs="Calibri"/>
                <w:i/>
                <w:iCs/>
                <w:sz w:val="20"/>
                <w:szCs w:val="20"/>
                <w:lang w:val="pt-PT"/>
              </w:rPr>
              <w:t>naturais</w:t>
            </w:r>
          </w:p>
        </w:tc>
        <w:tc>
          <w:tcPr>
            <w:tcW w:w="5675" w:type="dxa"/>
          </w:tcPr>
          <w:p w14:paraId="78B37342" w14:textId="77777777" w:rsidR="002617CF" w:rsidRPr="00E774DA" w:rsidRDefault="00000000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b/>
                <w:bCs/>
                <w:iCs/>
                <w:sz w:val="20"/>
                <w:szCs w:val="20"/>
                <w:u w:val="single"/>
                <w:lang w:val="pt-PT"/>
              </w:rPr>
            </w:pPr>
            <w:r w:rsidRPr="00E774DA">
              <w:rPr>
                <w:rFonts w:cs="Calibri"/>
                <w:b/>
                <w:bCs/>
                <w:iCs/>
                <w:sz w:val="20"/>
                <w:szCs w:val="20"/>
                <w:u w:val="single"/>
                <w:lang w:val="pt-PT"/>
              </w:rPr>
              <w:t>Na Lei:</w:t>
            </w:r>
          </w:p>
          <w:p w14:paraId="78B37343" w14:textId="77777777" w:rsidR="002617CF" w:rsidRDefault="00000000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iCs/>
                <w:sz w:val="20"/>
                <w:szCs w:val="20"/>
                <w:lang w:val="pt-PT"/>
              </w:rPr>
              <w:t>Assegura-se um mecanismo de nenhuma perda líquida pela implementação de projectos que afectem comunidades locais através da aplicação adequada da hierarquia de mitigação – Art – 14, n.º 4 e Art. 20.</w:t>
            </w:r>
          </w:p>
          <w:p w14:paraId="78B37344" w14:textId="77777777" w:rsidR="002617CF" w:rsidRDefault="00000000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iCs/>
                <w:sz w:val="20"/>
                <w:szCs w:val="20"/>
                <w:lang w:val="pt-PT"/>
              </w:rPr>
              <w:t>Prevê-se a possibilidade de o Governo declarar zonas críticas e situações de emergência – Art. 21.</w:t>
            </w:r>
          </w:p>
        </w:tc>
        <w:tc>
          <w:tcPr>
            <w:tcW w:w="4945" w:type="dxa"/>
          </w:tcPr>
          <w:p w14:paraId="78B37345" w14:textId="77777777" w:rsidR="002617CF" w:rsidRDefault="002617CF">
            <w:pPr>
              <w:ind w:left="0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2617CF" w:rsidRPr="009A5579" w14:paraId="78B37350" w14:textId="77777777">
        <w:trPr>
          <w:trHeight w:val="20"/>
          <w:jc w:val="center"/>
        </w:trPr>
        <w:tc>
          <w:tcPr>
            <w:tcW w:w="2965" w:type="dxa"/>
            <w:vMerge/>
          </w:tcPr>
          <w:p w14:paraId="78B37347" w14:textId="77777777" w:rsidR="002617CF" w:rsidRDefault="002617CF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78B37348" w14:textId="41F52193" w:rsidR="002617CF" w:rsidRPr="00E774DA" w:rsidRDefault="00000000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</w:pPr>
            <w:r w:rsidRPr="00E774DA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 xml:space="preserve">Na </w:t>
            </w:r>
            <w:r w:rsidR="00E774DA" w:rsidRPr="00E774DA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Política</w:t>
            </w:r>
            <w:r w:rsidRPr="00E774DA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:</w:t>
            </w:r>
          </w:p>
          <w:p w14:paraId="78B37349" w14:textId="77777777" w:rsidR="002617CF" w:rsidRDefault="00000000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1. Mapear as áreas em risco de desertificação e elaborar planos de intervenção para a sua redução e reversão, integrando bases científicas e conhecimento local</w:t>
            </w:r>
          </w:p>
          <w:p w14:paraId="78B3734A" w14:textId="77777777" w:rsidR="002617CF" w:rsidRDefault="00000000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lastRenderedPageBreak/>
              <w:t>2. Desenvolver e implementar programas de conservação de solos e reflorestamento em áreas críticas, incluindo zonas áridas e semiáridas, combinando práticas tradicionais e inovação científica</w:t>
            </w:r>
          </w:p>
          <w:p w14:paraId="78B3734B" w14:textId="77777777" w:rsidR="002617CF" w:rsidRDefault="00000000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3. Adoptar medidas de conservação do solo e da água em ecossistemas críticos, prevenindo erosão, desertificação e a salinização</w:t>
            </w:r>
          </w:p>
          <w:p w14:paraId="78B3734C" w14:textId="77777777" w:rsidR="002617CF" w:rsidRDefault="00000000">
            <w:pPr>
              <w:pStyle w:val="ListParagraph3"/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4. Recuperar habitats marinhos e terrestres degradados através de planos de restauro, com metas mensuráveis</w:t>
            </w:r>
          </w:p>
          <w:p w14:paraId="78B3734D" w14:textId="77777777" w:rsidR="002617CF" w:rsidRDefault="00000000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5. Promover a  criação de viveiros comunitários de espécies nativas e incentivar comunidades, sector privado e outros interessados no plantio de espécies nativas e implementação de programas de reflorestamento</w:t>
            </w:r>
          </w:p>
          <w:p w14:paraId="78B3734E" w14:textId="77777777" w:rsidR="002617CF" w:rsidRDefault="0000000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 xml:space="preserve">6. Estabelecer corredores ecológicos e zonas tampão que assegurem a conectividade entre </w:t>
            </w:r>
            <w:r>
              <w:rPr>
                <w:rFonts w:cs="Calibri"/>
                <w:i/>
                <w:iCs/>
                <w:sz w:val="20"/>
                <w:szCs w:val="20"/>
                <w:lang w:val="pt-PT"/>
              </w:rPr>
              <w:t>habitats</w:t>
            </w:r>
            <w:r>
              <w:rPr>
                <w:rFonts w:cs="Calibri"/>
                <w:sz w:val="20"/>
                <w:szCs w:val="20"/>
                <w:lang w:val="pt-PT"/>
              </w:rPr>
              <w:t xml:space="preserve"> e ecossistemas, incluindo os das zonas transfronteiriças, visando o reforço da resiliência ambiental</w:t>
            </w:r>
          </w:p>
        </w:tc>
        <w:tc>
          <w:tcPr>
            <w:tcW w:w="4945" w:type="dxa"/>
          </w:tcPr>
          <w:p w14:paraId="78B3734F" w14:textId="77777777" w:rsidR="002617CF" w:rsidRDefault="002617CF">
            <w:pPr>
              <w:ind w:left="0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2617CF" w:rsidRPr="009A5579" w14:paraId="78B37352" w14:textId="77777777">
        <w:trPr>
          <w:trHeight w:val="20"/>
          <w:jc w:val="center"/>
        </w:trPr>
        <w:tc>
          <w:tcPr>
            <w:tcW w:w="13585" w:type="dxa"/>
            <w:gridSpan w:val="3"/>
            <w:shd w:val="clear" w:color="auto" w:fill="83CAEB" w:themeFill="accent1" w:themeFillTint="66"/>
          </w:tcPr>
          <w:p w14:paraId="78B37351" w14:textId="77777777" w:rsidR="002617CF" w:rsidRPr="00B321ED" w:rsidRDefault="00000000">
            <w:pPr>
              <w:jc w:val="center"/>
              <w:rPr>
                <w:rFonts w:cs="Calibri"/>
                <w:kern w:val="0"/>
                <w:sz w:val="24"/>
                <w:lang w:val="pt-PT"/>
                <w14:ligatures w14:val="none"/>
              </w:rPr>
            </w:pPr>
            <w:r w:rsidRPr="00B321ED">
              <w:rPr>
                <w:rFonts w:cs="Calibri"/>
                <w:b/>
                <w:bCs/>
                <w:kern w:val="0"/>
                <w:sz w:val="24"/>
                <w:lang w:val="pt-PT"/>
                <w14:ligatures w14:val="none"/>
              </w:rPr>
              <w:t>C. Papel dos Diferentes Intervenientes</w:t>
            </w:r>
          </w:p>
        </w:tc>
      </w:tr>
      <w:tr w:rsidR="002617CF" w:rsidRPr="009A5579" w14:paraId="78B3735C" w14:textId="77777777">
        <w:trPr>
          <w:trHeight w:val="20"/>
          <w:jc w:val="center"/>
        </w:trPr>
        <w:tc>
          <w:tcPr>
            <w:tcW w:w="2965" w:type="dxa"/>
          </w:tcPr>
          <w:p w14:paraId="78B37353" w14:textId="77777777" w:rsidR="002617CF" w:rsidRDefault="00000000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Instituições de ensino e investigação</w:t>
            </w:r>
          </w:p>
        </w:tc>
        <w:tc>
          <w:tcPr>
            <w:tcW w:w="5675" w:type="dxa"/>
          </w:tcPr>
          <w:p w14:paraId="78B37354" w14:textId="05D42A9E" w:rsidR="002617CF" w:rsidRPr="00B321ED" w:rsidRDefault="00000000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</w:pPr>
            <w:r w:rsidRPr="00B321ED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 xml:space="preserve">Na </w:t>
            </w:r>
            <w:r w:rsidR="00B321ED" w:rsidRPr="00B321ED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Política</w:t>
            </w:r>
            <w:r w:rsidRPr="00B321ED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:</w:t>
            </w:r>
          </w:p>
          <w:p w14:paraId="78B37355" w14:textId="77777777" w:rsidR="002617CF" w:rsidRDefault="00000000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(i)</w:t>
            </w:r>
            <w:r>
              <w:rPr>
                <w:rFonts w:cs="Calibri"/>
                <w:sz w:val="20"/>
                <w:szCs w:val="20"/>
                <w:lang w:val="pt-PT"/>
              </w:rPr>
              <w:tab/>
              <w:t>promover regularmente e melhorar continuamente os mecanismos de diálogo entre a ciência e a política para fortalecer os processos de tomada de decisão baseada em evidências científicas</w:t>
            </w:r>
          </w:p>
          <w:p w14:paraId="78B37356" w14:textId="77777777" w:rsidR="002617CF" w:rsidRDefault="00000000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(ii) contribuir, através da investigação, ensino e publicações em temas e áreas relacionadas com a gestão ambiental e mudanças climáticas, com vista a tomada de decisões informadas e desenvolvimento da cultura de cidadania;</w:t>
            </w:r>
          </w:p>
          <w:p w14:paraId="78B37357" w14:textId="77777777" w:rsidR="002617CF" w:rsidRDefault="00000000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(iii) participar e apoiar o Governo no processo de elaboração dos instrumentos de gestão ambiental, mudanças climáticas e de ordenamento territorial;</w:t>
            </w:r>
          </w:p>
          <w:p w14:paraId="78B37358" w14:textId="77777777" w:rsidR="002617CF" w:rsidRDefault="00000000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(iv) participar no processo de formulação do quadro legal de políticas e legislação ambiental e do ordenamento territorial, e na sua implementação;</w:t>
            </w:r>
          </w:p>
          <w:p w14:paraId="78B37359" w14:textId="77777777" w:rsidR="002617CF" w:rsidRDefault="00000000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(v) contribuir na investigação, conhecimento e publicação sobre as áreas de risco e de vulnerabilidade a eventos climáticos extremos, incluindo o desenvolvimento de abordagens sociológicas que venham a contribuir para a redução da degradação ambiental;</w:t>
            </w:r>
          </w:p>
          <w:p w14:paraId="78B3735A" w14:textId="77777777" w:rsidR="002617CF" w:rsidRDefault="00000000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lastRenderedPageBreak/>
              <w:t>(vi) contribuir para a educação ambiental da população a todos os níveis</w:t>
            </w:r>
          </w:p>
        </w:tc>
        <w:tc>
          <w:tcPr>
            <w:tcW w:w="4945" w:type="dxa"/>
          </w:tcPr>
          <w:p w14:paraId="78B3735B" w14:textId="77777777" w:rsidR="002617CF" w:rsidRDefault="002617CF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2617CF" w:rsidRPr="00B321ED" w14:paraId="78B3735E" w14:textId="77777777">
        <w:trPr>
          <w:trHeight w:val="20"/>
          <w:jc w:val="center"/>
        </w:trPr>
        <w:tc>
          <w:tcPr>
            <w:tcW w:w="13585" w:type="dxa"/>
            <w:gridSpan w:val="3"/>
            <w:shd w:val="clear" w:color="auto" w:fill="83CAEB" w:themeFill="accent1" w:themeFillTint="66"/>
          </w:tcPr>
          <w:p w14:paraId="78B3735D" w14:textId="77777777" w:rsidR="002617CF" w:rsidRPr="00B321ED" w:rsidRDefault="00000000">
            <w:pPr>
              <w:jc w:val="center"/>
              <w:rPr>
                <w:rFonts w:cs="Calibri"/>
                <w:kern w:val="0"/>
                <w:sz w:val="24"/>
                <w:lang w:val="pt-PT"/>
                <w14:ligatures w14:val="none"/>
              </w:rPr>
            </w:pPr>
            <w:r w:rsidRPr="00B321ED">
              <w:rPr>
                <w:rFonts w:cs="Calibri"/>
                <w:b/>
                <w:bCs/>
                <w:kern w:val="0"/>
                <w:sz w:val="24"/>
                <w:lang w:val="pt-PT"/>
                <w14:ligatures w14:val="none"/>
              </w:rPr>
              <w:t>D. Mecanismos de Financiamento</w:t>
            </w:r>
          </w:p>
        </w:tc>
      </w:tr>
      <w:tr w:rsidR="002617CF" w:rsidRPr="009A5579" w14:paraId="78B37364" w14:textId="77777777">
        <w:trPr>
          <w:trHeight w:val="20"/>
          <w:jc w:val="center"/>
        </w:trPr>
        <w:tc>
          <w:tcPr>
            <w:tcW w:w="2965" w:type="dxa"/>
            <w:vMerge w:val="restart"/>
          </w:tcPr>
          <w:p w14:paraId="78B3735F" w14:textId="77777777" w:rsidR="002617CF" w:rsidRDefault="00000000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Financiamento privado e mecanismos económicos e fiscais</w:t>
            </w:r>
          </w:p>
        </w:tc>
        <w:tc>
          <w:tcPr>
            <w:tcW w:w="5675" w:type="dxa"/>
          </w:tcPr>
          <w:p w14:paraId="78B37360" w14:textId="77777777" w:rsidR="002617CF" w:rsidRPr="00B321ED" w:rsidRDefault="00000000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b/>
                <w:sz w:val="20"/>
                <w:szCs w:val="20"/>
                <w:lang w:val="pt-PT"/>
              </w:rPr>
            </w:pPr>
            <w:r w:rsidRPr="00B321ED">
              <w:rPr>
                <w:rFonts w:cs="Calibri"/>
                <w:b/>
                <w:sz w:val="20"/>
                <w:szCs w:val="20"/>
                <w:u w:val="single"/>
                <w:lang w:val="pt-PT"/>
              </w:rPr>
              <w:t>Na Lei:</w:t>
            </w:r>
          </w:p>
          <w:p w14:paraId="78B37361" w14:textId="77777777" w:rsidR="002617CF" w:rsidRDefault="00000000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bCs/>
                <w:sz w:val="20"/>
                <w:szCs w:val="20"/>
                <w:lang w:val="pt-PT"/>
              </w:rPr>
            </w:pPr>
            <w:r>
              <w:rPr>
                <w:rFonts w:cs="Calibri"/>
                <w:bCs/>
                <w:sz w:val="20"/>
                <w:szCs w:val="20"/>
                <w:lang w:val="pt-PT"/>
              </w:rPr>
              <w:t>1. Prevê-se um artigo de estabelecimento de taxas especificas para a realização de actividades e pelo pagamento de serviços ambientais e atinentes às mudanças climáticas.</w:t>
            </w:r>
          </w:p>
          <w:p w14:paraId="78B37362" w14:textId="77777777" w:rsidR="002617CF" w:rsidRDefault="00000000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bCs/>
                <w:sz w:val="20"/>
                <w:szCs w:val="20"/>
                <w:lang w:val="pt-PT"/>
              </w:rPr>
              <w:t>2. Cria-se também o fundo ambiental.</w:t>
            </w:r>
          </w:p>
        </w:tc>
        <w:tc>
          <w:tcPr>
            <w:tcW w:w="4945" w:type="dxa"/>
          </w:tcPr>
          <w:p w14:paraId="78B37363" w14:textId="77777777" w:rsidR="002617CF" w:rsidRDefault="002617CF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2617CF" w:rsidRPr="009A5579" w14:paraId="78B37372" w14:textId="77777777">
        <w:trPr>
          <w:trHeight w:val="20"/>
          <w:jc w:val="center"/>
        </w:trPr>
        <w:tc>
          <w:tcPr>
            <w:tcW w:w="2965" w:type="dxa"/>
            <w:vMerge/>
          </w:tcPr>
          <w:p w14:paraId="78B37365" w14:textId="77777777" w:rsidR="002617CF" w:rsidRDefault="002617CF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78B37366" w14:textId="6A02BFA2" w:rsidR="002617CF" w:rsidRPr="00B321ED" w:rsidRDefault="00000000">
            <w:pPr>
              <w:pStyle w:val="ListParagraph3"/>
              <w:spacing w:before="0" w:line="240" w:lineRule="auto"/>
              <w:ind w:left="-24"/>
              <w:jc w:val="both"/>
              <w:rPr>
                <w:rFonts w:cs="Calibri"/>
                <w:b/>
                <w:bCs/>
                <w:sz w:val="20"/>
                <w:szCs w:val="20"/>
                <w:u w:val="single"/>
                <w:lang w:val="en-GB"/>
              </w:rPr>
            </w:pPr>
            <w:r w:rsidRPr="00B321ED">
              <w:rPr>
                <w:rFonts w:cs="Calibri"/>
                <w:b/>
                <w:bCs/>
                <w:sz w:val="20"/>
                <w:szCs w:val="20"/>
                <w:u w:val="single"/>
                <w:lang w:val="en-GB"/>
              </w:rPr>
              <w:t>Na Pol</w:t>
            </w:r>
            <w:r w:rsidR="00B321ED">
              <w:rPr>
                <w:rFonts w:cs="Calibri"/>
                <w:b/>
                <w:bCs/>
                <w:sz w:val="20"/>
                <w:szCs w:val="20"/>
                <w:u w:val="single"/>
                <w:lang w:val="en-GB"/>
              </w:rPr>
              <w:t>í</w:t>
            </w:r>
            <w:r w:rsidRPr="00B321ED">
              <w:rPr>
                <w:rFonts w:cs="Calibri"/>
                <w:b/>
                <w:bCs/>
                <w:sz w:val="20"/>
                <w:szCs w:val="20"/>
                <w:u w:val="single"/>
                <w:lang w:val="en-GB"/>
              </w:rPr>
              <w:t>tica:</w:t>
            </w:r>
          </w:p>
          <w:p w14:paraId="78B37367" w14:textId="77777777" w:rsidR="002617CF" w:rsidRDefault="00000000">
            <w:pPr>
              <w:pStyle w:val="ListParagraph3"/>
              <w:numPr>
                <w:ilvl w:val="0"/>
                <w:numId w:val="3"/>
              </w:numPr>
              <w:spacing w:before="0" w:line="240" w:lineRule="auto"/>
              <w:ind w:left="156" w:hanging="18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Taxas sobre concessões para a exploração de recursos naturais (como florestas, recursos naturais e pescas);</w:t>
            </w:r>
          </w:p>
          <w:p w14:paraId="78B37368" w14:textId="77777777" w:rsidR="002617CF" w:rsidRDefault="00000000">
            <w:pPr>
              <w:pStyle w:val="ListParagraph3"/>
              <w:numPr>
                <w:ilvl w:val="0"/>
                <w:numId w:val="3"/>
              </w:numPr>
              <w:spacing w:before="0" w:line="240" w:lineRule="auto"/>
              <w:ind w:left="156" w:hanging="18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Taxas de licenciamento ambiental;</w:t>
            </w:r>
          </w:p>
          <w:p w14:paraId="78B37369" w14:textId="77777777" w:rsidR="002617CF" w:rsidRDefault="00000000">
            <w:pPr>
              <w:pStyle w:val="ListParagraph3"/>
              <w:numPr>
                <w:ilvl w:val="0"/>
                <w:numId w:val="3"/>
              </w:numPr>
              <w:spacing w:before="0" w:line="240" w:lineRule="auto"/>
              <w:ind w:left="156" w:hanging="18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Taxas provenientes do registo de consultores qualificados para realizar Estudos de Impacto Ambiental e para a elaboração de instrumentos de ordenamento do território por parte de entidades privadas;</w:t>
            </w:r>
          </w:p>
          <w:p w14:paraId="78B3736A" w14:textId="77777777" w:rsidR="002617CF" w:rsidRDefault="00000000">
            <w:pPr>
              <w:pStyle w:val="ListParagraph3"/>
              <w:numPr>
                <w:ilvl w:val="0"/>
                <w:numId w:val="3"/>
              </w:numPr>
              <w:spacing w:before="0" w:line="240" w:lineRule="auto"/>
              <w:ind w:left="156" w:hanging="18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Multas provenientes de sanções e penalizações decorrentes de infracções;</w:t>
            </w:r>
          </w:p>
          <w:p w14:paraId="78B3736B" w14:textId="77777777" w:rsidR="002617CF" w:rsidRDefault="00000000">
            <w:pPr>
              <w:pStyle w:val="ListParagraph3"/>
              <w:numPr>
                <w:ilvl w:val="0"/>
                <w:numId w:val="3"/>
              </w:numPr>
              <w:spacing w:before="0" w:line="240" w:lineRule="auto"/>
              <w:ind w:left="156" w:hanging="18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Mercados de carbono e créditos voluntários: emissão e venda de créditos por reflorestamento, conservação e energias limpas.</w:t>
            </w:r>
          </w:p>
          <w:p w14:paraId="78B3736C" w14:textId="77777777" w:rsidR="002617CF" w:rsidRDefault="00000000">
            <w:pPr>
              <w:pStyle w:val="ListParagraph3"/>
              <w:numPr>
                <w:ilvl w:val="0"/>
                <w:numId w:val="3"/>
              </w:numPr>
              <w:spacing w:before="0" w:line="240" w:lineRule="auto"/>
              <w:ind w:left="156" w:hanging="18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Obrigações Sustentáveis (Green and Blue Bonds): emissão de títulos no mercado financeiro destinados a financiar projectos ambientais.</w:t>
            </w:r>
          </w:p>
          <w:p w14:paraId="78B3736D" w14:textId="77777777" w:rsidR="002617CF" w:rsidRDefault="00000000">
            <w:pPr>
              <w:pStyle w:val="ListParagraph3"/>
              <w:numPr>
                <w:ilvl w:val="0"/>
                <w:numId w:val="3"/>
              </w:numPr>
              <w:spacing w:before="0" w:line="240" w:lineRule="auto"/>
              <w:ind w:left="156" w:hanging="18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Parcerias Público-Privadas (PPP): em diferentes sectores, como saneamento, gestão de resíduos sólidos, energia renovável e infraestruturas resilientes.</w:t>
            </w:r>
          </w:p>
          <w:p w14:paraId="78B3736E" w14:textId="77777777" w:rsidR="002617CF" w:rsidRDefault="00000000">
            <w:pPr>
              <w:pStyle w:val="ListParagraph3"/>
              <w:numPr>
                <w:ilvl w:val="0"/>
                <w:numId w:val="3"/>
              </w:numPr>
              <w:spacing w:before="0" w:line="240" w:lineRule="auto"/>
              <w:ind w:left="156" w:hanging="18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Incentivos fiscais verdes: redução de impostos ou isenções para empresas que investem em tecnologias limpas, economia circular e cadeias de valor sustentáveis.</w:t>
            </w:r>
          </w:p>
          <w:p w14:paraId="78B3736F" w14:textId="77777777" w:rsidR="002617CF" w:rsidRDefault="00000000">
            <w:pPr>
              <w:pStyle w:val="ListParagraph3"/>
              <w:numPr>
                <w:ilvl w:val="0"/>
                <w:numId w:val="3"/>
              </w:numPr>
              <w:spacing w:before="0" w:line="240" w:lineRule="auto"/>
              <w:ind w:left="156" w:hanging="18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Fundos rotativos e microcrédito verde: linhas de crédito para apoiar iniciativas locais e comunitárias em agricultura sustentável, gestão florestal e eco-turismo.</w:t>
            </w:r>
          </w:p>
          <w:p w14:paraId="78B37370" w14:textId="77777777" w:rsidR="002617CF" w:rsidRDefault="00000000">
            <w:pPr>
              <w:pStyle w:val="ListParagraph3"/>
              <w:numPr>
                <w:ilvl w:val="0"/>
                <w:numId w:val="3"/>
              </w:numPr>
              <w:spacing w:before="0" w:line="240" w:lineRule="auto"/>
              <w:ind w:left="156" w:hanging="18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 xml:space="preserve">Pagamentos por Serviços Ambientais (PSA): compensações pagas por utilizadores de água, energia ou turismo que dependem de ecossistemas conservados, e canalizadas as comunidades que </w:t>
            </w:r>
            <w:r>
              <w:rPr>
                <w:rFonts w:cs="Calibri"/>
                <w:sz w:val="20"/>
                <w:szCs w:val="20"/>
                <w:lang w:val="pt-PT"/>
              </w:rPr>
              <w:lastRenderedPageBreak/>
              <w:t>praticam a conservação das florestas e outros ecossistemas, incluindo outros serviços ambientais directos e indirectos.</w:t>
            </w:r>
          </w:p>
        </w:tc>
        <w:tc>
          <w:tcPr>
            <w:tcW w:w="4945" w:type="dxa"/>
          </w:tcPr>
          <w:p w14:paraId="78B37371" w14:textId="77777777" w:rsidR="002617CF" w:rsidRDefault="002617CF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2617CF" w:rsidRPr="009A5579" w14:paraId="78B37374" w14:textId="77777777">
        <w:trPr>
          <w:trHeight w:val="20"/>
          <w:jc w:val="center"/>
        </w:trPr>
        <w:tc>
          <w:tcPr>
            <w:tcW w:w="13585" w:type="dxa"/>
            <w:gridSpan w:val="3"/>
            <w:shd w:val="clear" w:color="auto" w:fill="95DCF7" w:themeFill="accent4" w:themeFillTint="66"/>
          </w:tcPr>
          <w:p w14:paraId="78B37373" w14:textId="77777777" w:rsidR="002617CF" w:rsidRPr="00B321ED" w:rsidRDefault="00000000">
            <w:pPr>
              <w:jc w:val="center"/>
              <w:rPr>
                <w:rFonts w:cs="Calibri"/>
                <w:kern w:val="0"/>
                <w:sz w:val="24"/>
                <w:lang w:val="pt-PT"/>
                <w14:ligatures w14:val="none"/>
              </w:rPr>
            </w:pPr>
            <w:r w:rsidRPr="00B321ED">
              <w:rPr>
                <w:rFonts w:cs="Calibri"/>
                <w:b/>
                <w:bCs/>
                <w:kern w:val="0"/>
                <w:sz w:val="24"/>
                <w:lang w:val="pt-PT"/>
                <w14:ligatures w14:val="none"/>
              </w:rPr>
              <w:t>E.</w:t>
            </w:r>
            <w:r w:rsidRPr="00B321ED">
              <w:rPr>
                <w:rFonts w:cs="Calibri"/>
                <w:b/>
                <w:bCs/>
                <w:kern w:val="0"/>
                <w:sz w:val="24"/>
                <w:lang w:val="pt-PT"/>
                <w14:ligatures w14:val="none"/>
              </w:rPr>
              <w:tab/>
              <w:t>Que outros aspectos considera desafios na gestão do ambiente em Moçambique e quais as propostas de solução?</w:t>
            </w:r>
          </w:p>
        </w:tc>
      </w:tr>
      <w:tr w:rsidR="002617CF" w:rsidRPr="009A5579" w14:paraId="78B37378" w14:textId="77777777">
        <w:trPr>
          <w:trHeight w:val="20"/>
          <w:jc w:val="center"/>
        </w:trPr>
        <w:tc>
          <w:tcPr>
            <w:tcW w:w="2965" w:type="dxa"/>
          </w:tcPr>
          <w:p w14:paraId="78B37375" w14:textId="77777777" w:rsidR="002617CF" w:rsidRDefault="002617CF">
            <w:pPr>
              <w:pStyle w:val="ListParagraph3"/>
              <w:spacing w:before="0" w:line="240" w:lineRule="auto"/>
              <w:ind w:left="0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78B37376" w14:textId="77777777" w:rsidR="002617CF" w:rsidRDefault="002617C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4945" w:type="dxa"/>
          </w:tcPr>
          <w:p w14:paraId="78B37377" w14:textId="77777777" w:rsidR="002617CF" w:rsidRDefault="002617CF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2617CF" w:rsidRPr="009A5579" w14:paraId="78B3737C" w14:textId="77777777">
        <w:trPr>
          <w:trHeight w:val="20"/>
          <w:jc w:val="center"/>
        </w:trPr>
        <w:tc>
          <w:tcPr>
            <w:tcW w:w="2965" w:type="dxa"/>
          </w:tcPr>
          <w:p w14:paraId="78B37379" w14:textId="77777777" w:rsidR="002617CF" w:rsidRDefault="002617CF">
            <w:pPr>
              <w:pStyle w:val="ListParagraph3"/>
              <w:spacing w:before="0" w:line="240" w:lineRule="auto"/>
              <w:ind w:left="0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78B3737A" w14:textId="77777777" w:rsidR="002617CF" w:rsidRDefault="002617C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4945" w:type="dxa"/>
          </w:tcPr>
          <w:p w14:paraId="78B3737B" w14:textId="77777777" w:rsidR="002617CF" w:rsidRDefault="002617CF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2617CF" w:rsidRPr="009A5579" w14:paraId="78B37380" w14:textId="77777777">
        <w:trPr>
          <w:trHeight w:val="20"/>
          <w:jc w:val="center"/>
        </w:trPr>
        <w:tc>
          <w:tcPr>
            <w:tcW w:w="2965" w:type="dxa"/>
          </w:tcPr>
          <w:p w14:paraId="78B3737D" w14:textId="77777777" w:rsidR="002617CF" w:rsidRDefault="002617CF">
            <w:pPr>
              <w:pStyle w:val="ListParagraph3"/>
              <w:spacing w:before="0" w:line="240" w:lineRule="auto"/>
              <w:ind w:left="0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78B3737E" w14:textId="77777777" w:rsidR="002617CF" w:rsidRDefault="002617C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4945" w:type="dxa"/>
          </w:tcPr>
          <w:p w14:paraId="78B3737F" w14:textId="77777777" w:rsidR="002617CF" w:rsidRDefault="002617CF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2617CF" w:rsidRPr="009A5579" w14:paraId="78B37384" w14:textId="77777777">
        <w:trPr>
          <w:trHeight w:val="20"/>
          <w:jc w:val="center"/>
        </w:trPr>
        <w:tc>
          <w:tcPr>
            <w:tcW w:w="2965" w:type="dxa"/>
          </w:tcPr>
          <w:p w14:paraId="78B37381" w14:textId="77777777" w:rsidR="002617CF" w:rsidRDefault="002617CF">
            <w:pPr>
              <w:pStyle w:val="ListParagraph3"/>
              <w:spacing w:before="0" w:line="240" w:lineRule="auto"/>
              <w:ind w:left="0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78B37382" w14:textId="77777777" w:rsidR="002617CF" w:rsidRDefault="002617C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4945" w:type="dxa"/>
          </w:tcPr>
          <w:p w14:paraId="78B37383" w14:textId="77777777" w:rsidR="002617CF" w:rsidRDefault="002617CF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2617CF" w:rsidRPr="009A5579" w14:paraId="78B37388" w14:textId="77777777">
        <w:trPr>
          <w:trHeight w:val="20"/>
          <w:jc w:val="center"/>
        </w:trPr>
        <w:tc>
          <w:tcPr>
            <w:tcW w:w="2965" w:type="dxa"/>
          </w:tcPr>
          <w:p w14:paraId="78B37385" w14:textId="77777777" w:rsidR="002617CF" w:rsidRDefault="002617CF">
            <w:pPr>
              <w:pStyle w:val="ListParagraph3"/>
              <w:spacing w:before="0" w:line="240" w:lineRule="auto"/>
              <w:ind w:left="0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78B37386" w14:textId="77777777" w:rsidR="002617CF" w:rsidRDefault="002617CF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4945" w:type="dxa"/>
          </w:tcPr>
          <w:p w14:paraId="78B37387" w14:textId="77777777" w:rsidR="002617CF" w:rsidRDefault="002617CF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2617CF" w:rsidRPr="009A5579" w14:paraId="78B3738C" w14:textId="77777777">
        <w:trPr>
          <w:trHeight w:val="20"/>
          <w:jc w:val="center"/>
        </w:trPr>
        <w:tc>
          <w:tcPr>
            <w:tcW w:w="2965" w:type="dxa"/>
          </w:tcPr>
          <w:p w14:paraId="78B37389" w14:textId="77777777" w:rsidR="002617CF" w:rsidRDefault="002617CF">
            <w:pPr>
              <w:pStyle w:val="ListParagraph3"/>
              <w:spacing w:before="0" w:line="240" w:lineRule="auto"/>
              <w:ind w:left="0"/>
              <w:jc w:val="both"/>
              <w:rPr>
                <w:rFonts w:eastAsiaTheme="majorEastAsia"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78B3738A" w14:textId="77777777" w:rsidR="002617CF" w:rsidRDefault="002617CF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4945" w:type="dxa"/>
          </w:tcPr>
          <w:p w14:paraId="78B3738B" w14:textId="77777777" w:rsidR="002617CF" w:rsidRDefault="002617CF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2617CF" w:rsidRPr="009A5579" w14:paraId="78B37390" w14:textId="77777777">
        <w:trPr>
          <w:trHeight w:val="20"/>
          <w:jc w:val="center"/>
        </w:trPr>
        <w:tc>
          <w:tcPr>
            <w:tcW w:w="2965" w:type="dxa"/>
          </w:tcPr>
          <w:p w14:paraId="78B3738D" w14:textId="77777777" w:rsidR="002617CF" w:rsidRDefault="002617CF">
            <w:pPr>
              <w:pStyle w:val="ListParagraph3"/>
              <w:spacing w:before="0" w:line="240" w:lineRule="auto"/>
              <w:ind w:left="0"/>
              <w:jc w:val="both"/>
              <w:rPr>
                <w:rFonts w:eastAsiaTheme="majorEastAsia"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78B3738E" w14:textId="77777777" w:rsidR="002617CF" w:rsidRDefault="002617CF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4945" w:type="dxa"/>
          </w:tcPr>
          <w:p w14:paraId="78B3738F" w14:textId="77777777" w:rsidR="002617CF" w:rsidRDefault="002617CF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</w:tbl>
    <w:p w14:paraId="78B37391" w14:textId="77777777" w:rsidR="002617CF" w:rsidRDefault="002617CF">
      <w:pPr>
        <w:ind w:left="0"/>
        <w:rPr>
          <w:rFonts w:cs="Calibri"/>
          <w:lang w:val="pt-PT"/>
        </w:rPr>
      </w:pPr>
    </w:p>
    <w:sectPr w:rsidR="002617CF">
      <w:footerReference w:type="default" r:id="rId8"/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48898" w14:textId="77777777" w:rsidR="00C029C6" w:rsidRDefault="00C029C6">
      <w:pPr>
        <w:spacing w:line="240" w:lineRule="auto"/>
      </w:pPr>
      <w:r>
        <w:separator/>
      </w:r>
    </w:p>
  </w:endnote>
  <w:endnote w:type="continuationSeparator" w:id="0">
    <w:p w14:paraId="30140E9F" w14:textId="77777777" w:rsidR="00C029C6" w:rsidRDefault="00C029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DE28B" w14:textId="06947A6A" w:rsidR="00B321ED" w:rsidRDefault="00000000" w:rsidP="00F15684">
    <w:pPr>
      <w:pStyle w:val="Footer"/>
      <w:jc w:val="right"/>
    </w:pPr>
    <w:sdt>
      <w:sdtPr>
        <w:id w:val="-1769616900"/>
        <w:docPartObj>
          <w:docPartGallery w:val="Page Numbers (Top of Page)"/>
          <w:docPartUnique/>
        </w:docPartObj>
      </w:sdtPr>
      <w:sdtContent>
        <w:r w:rsidR="00F15684" w:rsidRPr="00920CFA">
          <w:t xml:space="preserve">Pág. </w:t>
        </w:r>
        <w:r w:rsidR="00F15684" w:rsidRPr="00920CFA">
          <w:rPr>
            <w:sz w:val="24"/>
          </w:rPr>
          <w:fldChar w:fldCharType="begin"/>
        </w:r>
        <w:r w:rsidR="00F15684" w:rsidRPr="00920CFA">
          <w:instrText xml:space="preserve"> PAGE </w:instrText>
        </w:r>
        <w:r w:rsidR="00F15684" w:rsidRPr="00920CFA">
          <w:rPr>
            <w:sz w:val="24"/>
          </w:rPr>
          <w:fldChar w:fldCharType="separate"/>
        </w:r>
        <w:r w:rsidR="00F15684">
          <w:rPr>
            <w:sz w:val="24"/>
          </w:rPr>
          <w:t>9</w:t>
        </w:r>
        <w:r w:rsidR="00F15684" w:rsidRPr="00920CFA">
          <w:rPr>
            <w:sz w:val="24"/>
          </w:rPr>
          <w:fldChar w:fldCharType="end"/>
        </w:r>
        <w:r w:rsidR="00F15684" w:rsidRPr="00920CFA">
          <w:t xml:space="preserve"> / </w:t>
        </w:r>
        <w:fldSimple w:instr=" NUMPAGES  ">
          <w:r w:rsidR="00F15684">
            <w:rPr>
              <w:sz w:val="24"/>
            </w:rPr>
            <w:t>10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7FA53" w14:textId="77777777" w:rsidR="00C029C6" w:rsidRDefault="00C029C6">
      <w:pPr>
        <w:spacing w:before="0" w:after="0" w:line="240" w:lineRule="auto"/>
      </w:pPr>
      <w:r>
        <w:separator/>
      </w:r>
    </w:p>
  </w:footnote>
  <w:footnote w:type="continuationSeparator" w:id="0">
    <w:p w14:paraId="7A42CEF2" w14:textId="77777777" w:rsidR="00C029C6" w:rsidRDefault="00C029C6">
      <w:pPr>
        <w:spacing w:before="0" w:after="0" w:line="240" w:lineRule="auto"/>
      </w:pPr>
      <w:r>
        <w:continuationSeparator/>
      </w:r>
    </w:p>
  </w:footnote>
  <w:footnote w:id="1">
    <w:p w14:paraId="78B37398" w14:textId="77777777" w:rsidR="002617CF" w:rsidRDefault="00000000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Instituição Pública, Sociedade Civil, Sector Privado, Academia, Comunidades</w:t>
      </w:r>
    </w:p>
  </w:footnote>
  <w:footnote w:id="2">
    <w:p w14:paraId="78B37399" w14:textId="77777777" w:rsidR="002617CF" w:rsidRDefault="00000000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Caso seja um grupo, indicar todos os nomes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E043B"/>
    <w:multiLevelType w:val="multilevel"/>
    <w:tmpl w:val="145E043B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A21E47"/>
    <w:multiLevelType w:val="multilevel"/>
    <w:tmpl w:val="3AA21E4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6699"/>
        <w:sz w:val="16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44BD5"/>
    <w:multiLevelType w:val="multilevel"/>
    <w:tmpl w:val="42A44BD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11822400">
    <w:abstractNumId w:val="0"/>
  </w:num>
  <w:num w:numId="2" w16cid:durableId="552353184">
    <w:abstractNumId w:val="2"/>
  </w:num>
  <w:num w:numId="3" w16cid:durableId="1703506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666"/>
    <w:rsid w:val="00012A7E"/>
    <w:rsid w:val="0001571C"/>
    <w:rsid w:val="00021745"/>
    <w:rsid w:val="00025BE2"/>
    <w:rsid w:val="00031524"/>
    <w:rsid w:val="0005193E"/>
    <w:rsid w:val="00052CC5"/>
    <w:rsid w:val="000568FC"/>
    <w:rsid w:val="00061303"/>
    <w:rsid w:val="000621D5"/>
    <w:rsid w:val="0007055B"/>
    <w:rsid w:val="00077029"/>
    <w:rsid w:val="0007708B"/>
    <w:rsid w:val="000778E5"/>
    <w:rsid w:val="0009215D"/>
    <w:rsid w:val="000A04DE"/>
    <w:rsid w:val="000A06C5"/>
    <w:rsid w:val="000C4AC5"/>
    <w:rsid w:val="000D0DDB"/>
    <w:rsid w:val="000D1C11"/>
    <w:rsid w:val="000D33E0"/>
    <w:rsid w:val="000D6A8F"/>
    <w:rsid w:val="000D72CD"/>
    <w:rsid w:val="000E3764"/>
    <w:rsid w:val="000E5AB9"/>
    <w:rsid w:val="000F3022"/>
    <w:rsid w:val="000F4F89"/>
    <w:rsid w:val="000F6AC0"/>
    <w:rsid w:val="0011510D"/>
    <w:rsid w:val="00137B43"/>
    <w:rsid w:val="0014612C"/>
    <w:rsid w:val="00150856"/>
    <w:rsid w:val="00163EC4"/>
    <w:rsid w:val="00173F90"/>
    <w:rsid w:val="00175F56"/>
    <w:rsid w:val="0019199F"/>
    <w:rsid w:val="00194776"/>
    <w:rsid w:val="00194D9A"/>
    <w:rsid w:val="001A1B04"/>
    <w:rsid w:val="001B22C3"/>
    <w:rsid w:val="001B2628"/>
    <w:rsid w:val="001B514E"/>
    <w:rsid w:val="001B7113"/>
    <w:rsid w:val="001B7E06"/>
    <w:rsid w:val="001D014A"/>
    <w:rsid w:val="001D27A7"/>
    <w:rsid w:val="001E7B41"/>
    <w:rsid w:val="002020CE"/>
    <w:rsid w:val="0021028F"/>
    <w:rsid w:val="0021233A"/>
    <w:rsid w:val="002246C1"/>
    <w:rsid w:val="002269C7"/>
    <w:rsid w:val="002354AB"/>
    <w:rsid w:val="00241120"/>
    <w:rsid w:val="00243081"/>
    <w:rsid w:val="00246381"/>
    <w:rsid w:val="00247F2C"/>
    <w:rsid w:val="002507DA"/>
    <w:rsid w:val="00253DF8"/>
    <w:rsid w:val="002617CF"/>
    <w:rsid w:val="002636C3"/>
    <w:rsid w:val="0026388A"/>
    <w:rsid w:val="00264D19"/>
    <w:rsid w:val="00266622"/>
    <w:rsid w:val="00266830"/>
    <w:rsid w:val="002775E7"/>
    <w:rsid w:val="002A2290"/>
    <w:rsid w:val="002A42CA"/>
    <w:rsid w:val="002B220E"/>
    <w:rsid w:val="002C2E31"/>
    <w:rsid w:val="002C30C4"/>
    <w:rsid w:val="002C569B"/>
    <w:rsid w:val="002D2E91"/>
    <w:rsid w:val="002D423F"/>
    <w:rsid w:val="002F1789"/>
    <w:rsid w:val="002F437F"/>
    <w:rsid w:val="00303879"/>
    <w:rsid w:val="0031184B"/>
    <w:rsid w:val="00315C68"/>
    <w:rsid w:val="00323715"/>
    <w:rsid w:val="003328FB"/>
    <w:rsid w:val="00334428"/>
    <w:rsid w:val="00334D1B"/>
    <w:rsid w:val="00334EFF"/>
    <w:rsid w:val="00335E35"/>
    <w:rsid w:val="00340204"/>
    <w:rsid w:val="00344557"/>
    <w:rsid w:val="00355CEC"/>
    <w:rsid w:val="00360C44"/>
    <w:rsid w:val="00362AE7"/>
    <w:rsid w:val="0037153B"/>
    <w:rsid w:val="0037256F"/>
    <w:rsid w:val="00376120"/>
    <w:rsid w:val="003821C0"/>
    <w:rsid w:val="00387666"/>
    <w:rsid w:val="003A569C"/>
    <w:rsid w:val="003C36A3"/>
    <w:rsid w:val="003D1EB9"/>
    <w:rsid w:val="003E14A0"/>
    <w:rsid w:val="003F0146"/>
    <w:rsid w:val="003F2EB6"/>
    <w:rsid w:val="0040095D"/>
    <w:rsid w:val="00404954"/>
    <w:rsid w:val="0041036E"/>
    <w:rsid w:val="0042624C"/>
    <w:rsid w:val="00440C30"/>
    <w:rsid w:val="004413EE"/>
    <w:rsid w:val="0044253B"/>
    <w:rsid w:val="00443237"/>
    <w:rsid w:val="004435AA"/>
    <w:rsid w:val="004478FA"/>
    <w:rsid w:val="00455B13"/>
    <w:rsid w:val="00457420"/>
    <w:rsid w:val="0048222D"/>
    <w:rsid w:val="00493191"/>
    <w:rsid w:val="004939CC"/>
    <w:rsid w:val="004A2154"/>
    <w:rsid w:val="004B0F3B"/>
    <w:rsid w:val="004B35F5"/>
    <w:rsid w:val="004B3901"/>
    <w:rsid w:val="004B485C"/>
    <w:rsid w:val="004B77D4"/>
    <w:rsid w:val="004D18E1"/>
    <w:rsid w:val="004D6FC2"/>
    <w:rsid w:val="004E12C9"/>
    <w:rsid w:val="004F16C1"/>
    <w:rsid w:val="004F1DAA"/>
    <w:rsid w:val="0050155E"/>
    <w:rsid w:val="00504B0B"/>
    <w:rsid w:val="00505D05"/>
    <w:rsid w:val="00506342"/>
    <w:rsid w:val="00506ED0"/>
    <w:rsid w:val="005077E2"/>
    <w:rsid w:val="00511CF1"/>
    <w:rsid w:val="00524697"/>
    <w:rsid w:val="005352C5"/>
    <w:rsid w:val="00535BC1"/>
    <w:rsid w:val="00536F02"/>
    <w:rsid w:val="0054496B"/>
    <w:rsid w:val="0054776B"/>
    <w:rsid w:val="00550BCB"/>
    <w:rsid w:val="00567220"/>
    <w:rsid w:val="0057515F"/>
    <w:rsid w:val="00576E3A"/>
    <w:rsid w:val="00581831"/>
    <w:rsid w:val="005949DA"/>
    <w:rsid w:val="005A47F4"/>
    <w:rsid w:val="005B4371"/>
    <w:rsid w:val="005C6E8D"/>
    <w:rsid w:val="005C7F02"/>
    <w:rsid w:val="005E54B6"/>
    <w:rsid w:val="005E694F"/>
    <w:rsid w:val="005F09E5"/>
    <w:rsid w:val="005F3CCA"/>
    <w:rsid w:val="00600E0B"/>
    <w:rsid w:val="00601860"/>
    <w:rsid w:val="00604B19"/>
    <w:rsid w:val="00611D31"/>
    <w:rsid w:val="00615038"/>
    <w:rsid w:val="00624C2F"/>
    <w:rsid w:val="00631FB0"/>
    <w:rsid w:val="00634DDB"/>
    <w:rsid w:val="00635066"/>
    <w:rsid w:val="0063622B"/>
    <w:rsid w:val="00636889"/>
    <w:rsid w:val="00640BF8"/>
    <w:rsid w:val="00640C4F"/>
    <w:rsid w:val="006427A7"/>
    <w:rsid w:val="00645CE0"/>
    <w:rsid w:val="006539B4"/>
    <w:rsid w:val="00656419"/>
    <w:rsid w:val="00661135"/>
    <w:rsid w:val="006631F3"/>
    <w:rsid w:val="006656BF"/>
    <w:rsid w:val="0067563B"/>
    <w:rsid w:val="00684571"/>
    <w:rsid w:val="00684F0C"/>
    <w:rsid w:val="00685132"/>
    <w:rsid w:val="006A2A3A"/>
    <w:rsid w:val="006A38C9"/>
    <w:rsid w:val="006A50D5"/>
    <w:rsid w:val="006A5708"/>
    <w:rsid w:val="006A6FD3"/>
    <w:rsid w:val="006B2E0D"/>
    <w:rsid w:val="006B79EC"/>
    <w:rsid w:val="006C3A4B"/>
    <w:rsid w:val="006C4A5D"/>
    <w:rsid w:val="006C58F6"/>
    <w:rsid w:val="006C5E99"/>
    <w:rsid w:val="006D2A48"/>
    <w:rsid w:val="006D767C"/>
    <w:rsid w:val="006F3AE1"/>
    <w:rsid w:val="006F7174"/>
    <w:rsid w:val="00706555"/>
    <w:rsid w:val="0070660F"/>
    <w:rsid w:val="00726385"/>
    <w:rsid w:val="00732E55"/>
    <w:rsid w:val="00741D2B"/>
    <w:rsid w:val="00752ADD"/>
    <w:rsid w:val="00753FC0"/>
    <w:rsid w:val="00754595"/>
    <w:rsid w:val="00755DEC"/>
    <w:rsid w:val="00761A87"/>
    <w:rsid w:val="00762C3D"/>
    <w:rsid w:val="0076710D"/>
    <w:rsid w:val="00771E96"/>
    <w:rsid w:val="00775839"/>
    <w:rsid w:val="00775982"/>
    <w:rsid w:val="007850AC"/>
    <w:rsid w:val="00794B32"/>
    <w:rsid w:val="007B01C3"/>
    <w:rsid w:val="007B0E4A"/>
    <w:rsid w:val="007C18FA"/>
    <w:rsid w:val="007C2DD6"/>
    <w:rsid w:val="007D2FFB"/>
    <w:rsid w:val="007F1A42"/>
    <w:rsid w:val="008064F9"/>
    <w:rsid w:val="00815894"/>
    <w:rsid w:val="00817356"/>
    <w:rsid w:val="00827614"/>
    <w:rsid w:val="008326A7"/>
    <w:rsid w:val="0083459E"/>
    <w:rsid w:val="00842A37"/>
    <w:rsid w:val="00847F66"/>
    <w:rsid w:val="008511BB"/>
    <w:rsid w:val="008776D9"/>
    <w:rsid w:val="0088007C"/>
    <w:rsid w:val="00881E90"/>
    <w:rsid w:val="008A06BF"/>
    <w:rsid w:val="008A10F3"/>
    <w:rsid w:val="008A17D0"/>
    <w:rsid w:val="008A339B"/>
    <w:rsid w:val="008A4438"/>
    <w:rsid w:val="008B0435"/>
    <w:rsid w:val="008B0E1C"/>
    <w:rsid w:val="008B329F"/>
    <w:rsid w:val="008C2755"/>
    <w:rsid w:val="008C6B03"/>
    <w:rsid w:val="008F470E"/>
    <w:rsid w:val="00907F19"/>
    <w:rsid w:val="009130D3"/>
    <w:rsid w:val="009137EB"/>
    <w:rsid w:val="009144DA"/>
    <w:rsid w:val="0092393B"/>
    <w:rsid w:val="00930FC4"/>
    <w:rsid w:val="009450CA"/>
    <w:rsid w:val="00961965"/>
    <w:rsid w:val="009704D8"/>
    <w:rsid w:val="00971374"/>
    <w:rsid w:val="0099070A"/>
    <w:rsid w:val="0099416D"/>
    <w:rsid w:val="009A381C"/>
    <w:rsid w:val="009A5579"/>
    <w:rsid w:val="009B0571"/>
    <w:rsid w:val="009B1EEC"/>
    <w:rsid w:val="009C080D"/>
    <w:rsid w:val="009C4E3E"/>
    <w:rsid w:val="009D1CFB"/>
    <w:rsid w:val="009D6A26"/>
    <w:rsid w:val="009E45DC"/>
    <w:rsid w:val="009E6019"/>
    <w:rsid w:val="009F02E4"/>
    <w:rsid w:val="009F0799"/>
    <w:rsid w:val="009F7F22"/>
    <w:rsid w:val="00A15D3F"/>
    <w:rsid w:val="00A24113"/>
    <w:rsid w:val="00A26F2C"/>
    <w:rsid w:val="00A306CE"/>
    <w:rsid w:val="00A344FD"/>
    <w:rsid w:val="00A34C30"/>
    <w:rsid w:val="00A37B60"/>
    <w:rsid w:val="00A51A80"/>
    <w:rsid w:val="00A53265"/>
    <w:rsid w:val="00A543D3"/>
    <w:rsid w:val="00A725F6"/>
    <w:rsid w:val="00A75F4C"/>
    <w:rsid w:val="00A8651B"/>
    <w:rsid w:val="00A94933"/>
    <w:rsid w:val="00AA6976"/>
    <w:rsid w:val="00AA7BAE"/>
    <w:rsid w:val="00AB0403"/>
    <w:rsid w:val="00AD096E"/>
    <w:rsid w:val="00AD3DB1"/>
    <w:rsid w:val="00AE07B6"/>
    <w:rsid w:val="00AE4459"/>
    <w:rsid w:val="00B03955"/>
    <w:rsid w:val="00B063E1"/>
    <w:rsid w:val="00B077E4"/>
    <w:rsid w:val="00B10134"/>
    <w:rsid w:val="00B174DB"/>
    <w:rsid w:val="00B21442"/>
    <w:rsid w:val="00B23324"/>
    <w:rsid w:val="00B246D9"/>
    <w:rsid w:val="00B321ED"/>
    <w:rsid w:val="00B41918"/>
    <w:rsid w:val="00B474EE"/>
    <w:rsid w:val="00B513D9"/>
    <w:rsid w:val="00B57390"/>
    <w:rsid w:val="00B61D7A"/>
    <w:rsid w:val="00B74898"/>
    <w:rsid w:val="00B80A47"/>
    <w:rsid w:val="00B85496"/>
    <w:rsid w:val="00B90C17"/>
    <w:rsid w:val="00B92754"/>
    <w:rsid w:val="00BA1646"/>
    <w:rsid w:val="00BA1BC3"/>
    <w:rsid w:val="00BA4BE8"/>
    <w:rsid w:val="00BB54B8"/>
    <w:rsid w:val="00BC165E"/>
    <w:rsid w:val="00BC48C5"/>
    <w:rsid w:val="00BE73D7"/>
    <w:rsid w:val="00C029C6"/>
    <w:rsid w:val="00C11EA2"/>
    <w:rsid w:val="00C130D3"/>
    <w:rsid w:val="00C16F9E"/>
    <w:rsid w:val="00C23314"/>
    <w:rsid w:val="00C249EC"/>
    <w:rsid w:val="00C3225C"/>
    <w:rsid w:val="00C34C17"/>
    <w:rsid w:val="00C4093D"/>
    <w:rsid w:val="00C4711E"/>
    <w:rsid w:val="00C47594"/>
    <w:rsid w:val="00C52922"/>
    <w:rsid w:val="00C54689"/>
    <w:rsid w:val="00C73476"/>
    <w:rsid w:val="00C75F84"/>
    <w:rsid w:val="00C77A89"/>
    <w:rsid w:val="00C83531"/>
    <w:rsid w:val="00C856D1"/>
    <w:rsid w:val="00CA4B9B"/>
    <w:rsid w:val="00CB50B9"/>
    <w:rsid w:val="00CB6732"/>
    <w:rsid w:val="00CC20A4"/>
    <w:rsid w:val="00CC2D28"/>
    <w:rsid w:val="00CC633E"/>
    <w:rsid w:val="00CD258A"/>
    <w:rsid w:val="00CD4153"/>
    <w:rsid w:val="00CD7365"/>
    <w:rsid w:val="00D07F85"/>
    <w:rsid w:val="00D15ECE"/>
    <w:rsid w:val="00D357DA"/>
    <w:rsid w:val="00D37024"/>
    <w:rsid w:val="00D412BC"/>
    <w:rsid w:val="00D42073"/>
    <w:rsid w:val="00D431AA"/>
    <w:rsid w:val="00D46641"/>
    <w:rsid w:val="00D6415C"/>
    <w:rsid w:val="00DA503B"/>
    <w:rsid w:val="00DB2C16"/>
    <w:rsid w:val="00DB4C87"/>
    <w:rsid w:val="00DB5806"/>
    <w:rsid w:val="00DD2B4C"/>
    <w:rsid w:val="00DD480A"/>
    <w:rsid w:val="00DD4E4B"/>
    <w:rsid w:val="00DD70A6"/>
    <w:rsid w:val="00DE129D"/>
    <w:rsid w:val="00DE309F"/>
    <w:rsid w:val="00DF30FD"/>
    <w:rsid w:val="00DF516C"/>
    <w:rsid w:val="00E16BAA"/>
    <w:rsid w:val="00E23DCB"/>
    <w:rsid w:val="00E24A98"/>
    <w:rsid w:val="00E3260A"/>
    <w:rsid w:val="00E33FBC"/>
    <w:rsid w:val="00E36366"/>
    <w:rsid w:val="00E37971"/>
    <w:rsid w:val="00E43A2E"/>
    <w:rsid w:val="00E56B07"/>
    <w:rsid w:val="00E677DC"/>
    <w:rsid w:val="00E70A7A"/>
    <w:rsid w:val="00E74028"/>
    <w:rsid w:val="00E774DA"/>
    <w:rsid w:val="00E821B4"/>
    <w:rsid w:val="00E85535"/>
    <w:rsid w:val="00EA2BCA"/>
    <w:rsid w:val="00EA4837"/>
    <w:rsid w:val="00EB2844"/>
    <w:rsid w:val="00EB2973"/>
    <w:rsid w:val="00EB6883"/>
    <w:rsid w:val="00EB6E4E"/>
    <w:rsid w:val="00ED435B"/>
    <w:rsid w:val="00EE1856"/>
    <w:rsid w:val="00EE35E9"/>
    <w:rsid w:val="00F1500F"/>
    <w:rsid w:val="00F154AE"/>
    <w:rsid w:val="00F15684"/>
    <w:rsid w:val="00F17693"/>
    <w:rsid w:val="00F20532"/>
    <w:rsid w:val="00F507D2"/>
    <w:rsid w:val="00F52198"/>
    <w:rsid w:val="00F54F9F"/>
    <w:rsid w:val="00F711E2"/>
    <w:rsid w:val="00F86995"/>
    <w:rsid w:val="00F952B8"/>
    <w:rsid w:val="00FA7089"/>
    <w:rsid w:val="00FB2E72"/>
    <w:rsid w:val="00FC3EFB"/>
    <w:rsid w:val="00FC4536"/>
    <w:rsid w:val="00FD1071"/>
    <w:rsid w:val="00FE1A76"/>
    <w:rsid w:val="00FE31BD"/>
    <w:rsid w:val="00FE6967"/>
    <w:rsid w:val="00FF398B"/>
    <w:rsid w:val="00FF4765"/>
    <w:rsid w:val="22F17076"/>
    <w:rsid w:val="644D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3723C"/>
  <w15:docId w15:val="{3581DCAC-9A20-495A-962F-707E3023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80" w:lineRule="atLeast"/>
      <w:ind w:left="432"/>
      <w:jc w:val="both"/>
    </w:pPr>
    <w:rPr>
      <w:rFonts w:ascii="Calibri" w:hAnsi="Calibri"/>
      <w:kern w:val="2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qFormat/>
    <w:rPr>
      <w:vertAlign w:val="superscript"/>
    </w:rPr>
  </w:style>
  <w:style w:type="paragraph" w:styleId="FootnoteText">
    <w:name w:val="footnote text"/>
    <w:basedOn w:val="Normal"/>
    <w:link w:val="FootnoteTextChar"/>
    <w:qFormat/>
    <w:pPr>
      <w:snapToGrid w:val="0"/>
      <w:spacing w:before="0" w:after="200" w:line="276" w:lineRule="auto"/>
      <w:ind w:left="0"/>
      <w:jc w:val="left"/>
    </w:pPr>
    <w:rPr>
      <w:rFonts w:eastAsia="SimSun" w:cs="Times New Roman"/>
      <w:kern w:val="0"/>
      <w:sz w:val="18"/>
      <w:szCs w:val="18"/>
      <w:lang w:val="pt-PT" w:eastAsia="pt-PT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before="0"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pPr>
      <w:spacing w:line="270" w:lineRule="atLeast"/>
    </w:pPr>
    <w:rPr>
      <w:rFonts w:ascii="Times New Roman" w:eastAsia="Times New Roman" w:hAnsi="Times New Roman" w:cs="Times New Roman"/>
      <w:lang w:val="da-DK"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99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ListParagraph3">
    <w:name w:val="List Paragraph3"/>
    <w:basedOn w:val="Normal"/>
    <w:uiPriority w:val="34"/>
    <w:qFormat/>
    <w:pPr>
      <w:spacing w:before="100" w:beforeAutospacing="1" w:after="160" w:line="256" w:lineRule="auto"/>
      <w:ind w:left="720"/>
      <w:contextualSpacing/>
      <w:jc w:val="left"/>
    </w:pPr>
    <w:rPr>
      <w:rFonts w:eastAsia="Times New Roman" w:cs="Times New Roman"/>
      <w:kern w:val="0"/>
      <w:sz w:val="22"/>
      <w:szCs w:val="22"/>
      <w:lang w:eastAsia="pt-PT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hAnsi="Calibri"/>
      <w:sz w:val="20"/>
    </w:rPr>
  </w:style>
  <w:style w:type="paragraph" w:customStyle="1" w:styleId="ListParagraph4">
    <w:name w:val="List Paragraph4"/>
    <w:basedOn w:val="Normal"/>
    <w:uiPriority w:val="34"/>
    <w:qFormat/>
    <w:pPr>
      <w:spacing w:before="100" w:beforeAutospacing="1" w:after="160" w:line="256" w:lineRule="auto"/>
      <w:ind w:left="720"/>
      <w:contextualSpacing/>
      <w:jc w:val="left"/>
    </w:pPr>
    <w:rPr>
      <w:rFonts w:eastAsia="Times New Roman" w:cs="Times New Roman"/>
      <w:kern w:val="0"/>
      <w:sz w:val="22"/>
      <w:szCs w:val="22"/>
      <w:lang w:eastAsia="pt-PT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1"/>
    <w:qFormat/>
    <w:locked/>
    <w:rPr>
      <w:rFonts w:ascii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Calibri" w:eastAsia="SimSun" w:hAnsi="Calibri" w:cs="Times New Roman"/>
      <w:kern w:val="0"/>
      <w:sz w:val="18"/>
      <w:szCs w:val="18"/>
      <w:lang w:val="pt-PT" w:eastAsia="pt-PT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B321E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B321ED"/>
    <w:rPr>
      <w:rFonts w:ascii="Calibri" w:hAnsi="Calibri"/>
      <w:kern w:val="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2491</Words>
  <Characters>13457</Characters>
  <Application>Microsoft Office Word</Application>
  <DocSecurity>0</DocSecurity>
  <Lines>112</Lines>
  <Paragraphs>31</Paragraphs>
  <ScaleCrop>false</ScaleCrop>
  <Company/>
  <LinksUpToDate>false</LinksUpToDate>
  <CharactersWithSpaces>15917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 Junior</dc:creator>
  <cp:lastModifiedBy>VILELA DE SOUSA</cp:lastModifiedBy>
  <cp:revision>3</cp:revision>
  <cp:lastPrinted>2025-09-20T11:27:00Z</cp:lastPrinted>
  <dcterms:created xsi:type="dcterms:W3CDTF">2025-10-24T10:19:00Z</dcterms:created>
  <dcterms:modified xsi:type="dcterms:W3CDTF">2025-11-04T11:18:00Z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D035E350233F4078BCBACFC9BDA109B1_12</vt:lpwstr>
  </property>
</Properties>
</file>